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C3E4" w14:textId="77777777" w:rsidR="007E2263" w:rsidRPr="00AE48D5" w:rsidRDefault="007E2263" w:rsidP="00AE48D5">
      <w:pPr>
        <w:spacing w:after="150" w:line="240" w:lineRule="auto"/>
        <w:jc w:val="center"/>
        <w:textAlignment w:val="top"/>
        <w:outlineLvl w:val="0"/>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b/>
          <w:bCs/>
          <w:caps/>
          <w:color w:val="222222"/>
          <w:sz w:val="24"/>
          <w:szCs w:val="24"/>
          <w:lang w:val="it-IT"/>
        </w:rPr>
        <w:t>PUBBLICAZIONE DEI TRASFERIMENTI DI VALORE:</w:t>
      </w:r>
    </w:p>
    <w:p w14:paraId="6EF1ECAC" w14:textId="77777777" w:rsidR="007E2263" w:rsidRPr="00AE48D5" w:rsidRDefault="007E2263" w:rsidP="007E2263">
      <w:pPr>
        <w:spacing w:after="0" w:line="240" w:lineRule="auto"/>
        <w:jc w:val="center"/>
        <w:textAlignment w:val="top"/>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b/>
          <w:bCs/>
          <w:caps/>
          <w:color w:val="222222"/>
          <w:sz w:val="24"/>
          <w:szCs w:val="24"/>
          <w:lang w:val="it-IT"/>
        </w:rPr>
        <w:t>RIASSUNTO DELLA METODOLOGIA</w:t>
      </w:r>
    </w:p>
    <w:p w14:paraId="5211836F" w14:textId="77777777" w:rsidR="007E2263" w:rsidRPr="00AE48D5" w:rsidRDefault="007E2263" w:rsidP="007E2263">
      <w:pPr>
        <w:spacing w:after="0" w:line="240" w:lineRule="auto"/>
        <w:jc w:val="center"/>
        <w:textAlignment w:val="top"/>
        <w:rPr>
          <w:rFonts w:ascii="Times New Roman" w:eastAsia="Times New Roman" w:hAnsi="Times New Roman" w:cs="Times New Roman"/>
          <w:color w:val="222222"/>
          <w:sz w:val="24"/>
          <w:szCs w:val="24"/>
          <w:lang w:val="it-IT"/>
        </w:rPr>
      </w:pPr>
    </w:p>
    <w:p w14:paraId="04EC2A65" w14:textId="39C0E825" w:rsidR="007E2263" w:rsidRPr="00AE48D5" w:rsidRDefault="007E2263" w:rsidP="007E2263">
      <w:pPr>
        <w:spacing w:after="240" w:line="240" w:lineRule="auto"/>
        <w:ind w:left="982" w:hanging="720"/>
        <w:jc w:val="both"/>
        <w:textAlignment w:val="top"/>
        <w:outlineLvl w:val="0"/>
        <w:rPr>
          <w:rFonts w:ascii="Times New Roman" w:eastAsia="Times New Roman" w:hAnsi="Times New Roman" w:cs="Times New Roman"/>
          <w:color w:val="222222"/>
          <w:kern w:val="36"/>
          <w:sz w:val="24"/>
          <w:szCs w:val="24"/>
          <w:lang w:val="it-IT"/>
        </w:rPr>
      </w:pPr>
      <w:r w:rsidRPr="00AE48D5">
        <w:rPr>
          <w:rFonts w:ascii="Times New Roman" w:eastAsia="Times New Roman" w:hAnsi="Times New Roman" w:cs="Times New Roman"/>
          <w:b/>
          <w:bCs/>
          <w:color w:val="000000"/>
          <w:kern w:val="36"/>
          <w:sz w:val="24"/>
          <w:szCs w:val="24"/>
          <w:lang w:val="it-IT"/>
        </w:rPr>
        <w:t>1.         </w:t>
      </w:r>
      <w:r w:rsidR="00AE48D5" w:rsidRPr="00AE48D5">
        <w:rPr>
          <w:rFonts w:ascii="Times New Roman" w:eastAsia="Times New Roman" w:hAnsi="Times New Roman" w:cs="Times New Roman"/>
          <w:b/>
          <w:bCs/>
          <w:color w:val="000000"/>
          <w:kern w:val="36"/>
          <w:sz w:val="24"/>
          <w:szCs w:val="24"/>
          <w:lang w:val="it-IT"/>
        </w:rPr>
        <w:t>L’IMPEGNO DI ASTELLAS</w:t>
      </w:r>
    </w:p>
    <w:p w14:paraId="73231BD6" w14:textId="2054A3D4" w:rsidR="007E2263" w:rsidRPr="00AE48D5" w:rsidRDefault="007E2263" w:rsidP="007E2263">
      <w:pPr>
        <w:spacing w:after="240" w:line="240" w:lineRule="auto"/>
        <w:ind w:left="982"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1.1       </w:t>
      </w:r>
      <w:r w:rsidRPr="00AE48D5">
        <w:rPr>
          <w:rFonts w:ascii="Times New Roman" w:eastAsia="Times New Roman" w:hAnsi="Times New Roman" w:cs="Times New Roman"/>
          <w:color w:val="222222"/>
          <w:sz w:val="24"/>
          <w:szCs w:val="24"/>
          <w:lang w:val="it-IT"/>
        </w:rPr>
        <w:t>Astellas è membro della Federazione Europea delle Associazioni e delle Industrie Farmaceutiche (EFPIA). Il Codice</w:t>
      </w:r>
      <w:r w:rsidR="00AE48D5" w:rsidRPr="00AE48D5">
        <w:rPr>
          <w:rFonts w:ascii="Times New Roman" w:eastAsia="Times New Roman" w:hAnsi="Times New Roman" w:cs="Times New Roman"/>
          <w:color w:val="222222"/>
          <w:sz w:val="24"/>
          <w:szCs w:val="24"/>
          <w:lang w:val="it-IT"/>
        </w:rPr>
        <w:t xml:space="preserve"> </w:t>
      </w:r>
      <w:r w:rsidRPr="00AE48D5">
        <w:rPr>
          <w:rFonts w:ascii="Times New Roman" w:eastAsia="Times New Roman" w:hAnsi="Times New Roman" w:cs="Times New Roman"/>
          <w:color w:val="222222"/>
          <w:sz w:val="24"/>
          <w:szCs w:val="24"/>
          <w:lang w:val="it-IT"/>
        </w:rPr>
        <w:t>EFPIA (“</w:t>
      </w:r>
      <w:r w:rsidRPr="00AE48D5">
        <w:rPr>
          <w:rFonts w:ascii="Times New Roman" w:eastAsia="Times New Roman" w:hAnsi="Times New Roman" w:cs="Times New Roman"/>
          <w:b/>
          <w:bCs/>
          <w:color w:val="222222"/>
          <w:sz w:val="24"/>
          <w:szCs w:val="24"/>
          <w:lang w:val="it-IT"/>
        </w:rPr>
        <w:t>Codice EFPIA</w:t>
      </w:r>
      <w:r w:rsidRPr="00AE48D5">
        <w:rPr>
          <w:rFonts w:ascii="Times New Roman" w:eastAsia="Times New Roman" w:hAnsi="Times New Roman" w:cs="Times New Roman"/>
          <w:color w:val="222222"/>
          <w:sz w:val="24"/>
          <w:szCs w:val="24"/>
          <w:lang w:val="it-IT"/>
        </w:rPr>
        <w:t>"</w:t>
      </w:r>
      <w:r w:rsidR="0083316A" w:rsidRPr="00AE48D5">
        <w:rPr>
          <w:rFonts w:ascii="Times New Roman" w:eastAsia="Times New Roman" w:hAnsi="Times New Roman" w:cs="Times New Roman"/>
          <w:color w:val="222222"/>
          <w:sz w:val="24"/>
          <w:szCs w:val="24"/>
          <w:lang w:val="it-IT"/>
        </w:rPr>
        <w:t xml:space="preserve">) </w:t>
      </w:r>
      <w:r w:rsidRPr="00AE48D5">
        <w:rPr>
          <w:rFonts w:ascii="Times New Roman" w:eastAsia="Times New Roman" w:hAnsi="Times New Roman" w:cs="Times New Roman"/>
          <w:color w:val="222222"/>
          <w:sz w:val="24"/>
          <w:szCs w:val="24"/>
          <w:lang w:val="it-IT"/>
        </w:rPr>
        <w:t xml:space="preserve">stabilisce che tutti i membri sono tenuti a dichiarare determinati trasferimenti di valore effettuati, direttamente o indirettamente, a favore di Operatori </w:t>
      </w:r>
      <w:r w:rsidR="0083316A" w:rsidRPr="00AE48D5">
        <w:rPr>
          <w:rFonts w:ascii="Times New Roman" w:eastAsia="Times New Roman" w:hAnsi="Times New Roman" w:cs="Times New Roman"/>
          <w:color w:val="222222"/>
          <w:sz w:val="24"/>
          <w:szCs w:val="24"/>
          <w:lang w:val="it-IT"/>
        </w:rPr>
        <w:t>S</w:t>
      </w:r>
      <w:r w:rsidRPr="00AE48D5">
        <w:rPr>
          <w:rFonts w:ascii="Times New Roman" w:eastAsia="Times New Roman" w:hAnsi="Times New Roman" w:cs="Times New Roman"/>
          <w:color w:val="222222"/>
          <w:sz w:val="24"/>
          <w:szCs w:val="24"/>
          <w:lang w:val="it-IT"/>
        </w:rPr>
        <w:t>anitari</w:t>
      </w:r>
      <w:r w:rsidR="0083316A" w:rsidRPr="00AE48D5">
        <w:rPr>
          <w:rFonts w:ascii="Times New Roman" w:eastAsia="Times New Roman" w:hAnsi="Times New Roman" w:cs="Times New Roman"/>
          <w:color w:val="222222"/>
          <w:sz w:val="24"/>
          <w:szCs w:val="24"/>
          <w:lang w:val="it-IT"/>
        </w:rPr>
        <w:t xml:space="preserve"> (“</w:t>
      </w:r>
      <w:proofErr w:type="spellStart"/>
      <w:r w:rsidR="0083316A" w:rsidRPr="00AE48D5">
        <w:rPr>
          <w:rFonts w:ascii="Times New Roman" w:eastAsia="Times New Roman" w:hAnsi="Times New Roman" w:cs="Times New Roman"/>
          <w:b/>
          <w:bCs/>
          <w:color w:val="222222"/>
          <w:sz w:val="24"/>
          <w:szCs w:val="24"/>
          <w:lang w:val="it-IT"/>
        </w:rPr>
        <w:t>HCPs</w:t>
      </w:r>
      <w:proofErr w:type="spellEnd"/>
      <w:proofErr w:type="gramStart"/>
      <w:r w:rsidR="0083316A" w:rsidRPr="00AE48D5">
        <w:rPr>
          <w:rFonts w:ascii="Times New Roman" w:eastAsia="Times New Roman" w:hAnsi="Times New Roman" w:cs="Times New Roman"/>
          <w:b/>
          <w:bCs/>
          <w:color w:val="222222"/>
          <w:sz w:val="24"/>
          <w:szCs w:val="24"/>
          <w:lang w:val="it-IT"/>
        </w:rPr>
        <w:t>”)</w:t>
      </w:r>
      <w:r w:rsidRPr="00AE48D5">
        <w:rPr>
          <w:rFonts w:ascii="Times New Roman" w:eastAsia="Times New Roman" w:hAnsi="Times New Roman" w:cs="Times New Roman"/>
          <w:color w:val="222222"/>
          <w:sz w:val="24"/>
          <w:szCs w:val="24"/>
          <w:lang w:val="it-IT"/>
        </w:rPr>
        <w:t>  o</w:t>
      </w:r>
      <w:proofErr w:type="gramEnd"/>
      <w:r w:rsidRPr="00AE48D5">
        <w:rPr>
          <w:rFonts w:ascii="Times New Roman" w:eastAsia="Times New Roman" w:hAnsi="Times New Roman" w:cs="Times New Roman"/>
          <w:color w:val="222222"/>
          <w:sz w:val="24"/>
          <w:szCs w:val="24"/>
          <w:lang w:val="it-IT"/>
        </w:rPr>
        <w:t xml:space="preserve"> Organizzazioni </w:t>
      </w:r>
      <w:r w:rsidR="0083316A" w:rsidRPr="00AE48D5">
        <w:rPr>
          <w:rFonts w:ascii="Times New Roman" w:eastAsia="Times New Roman" w:hAnsi="Times New Roman" w:cs="Times New Roman"/>
          <w:color w:val="222222"/>
          <w:sz w:val="24"/>
          <w:szCs w:val="24"/>
          <w:lang w:val="it-IT"/>
        </w:rPr>
        <w:t>S</w:t>
      </w:r>
      <w:r w:rsidRPr="00AE48D5">
        <w:rPr>
          <w:rFonts w:ascii="Times New Roman" w:eastAsia="Times New Roman" w:hAnsi="Times New Roman" w:cs="Times New Roman"/>
          <w:color w:val="222222"/>
          <w:sz w:val="24"/>
          <w:szCs w:val="24"/>
          <w:lang w:val="it-IT"/>
        </w:rPr>
        <w:t>anitarie</w:t>
      </w:r>
      <w:r w:rsidR="0083316A" w:rsidRPr="00AE48D5">
        <w:rPr>
          <w:rFonts w:ascii="Times New Roman" w:eastAsia="Times New Roman" w:hAnsi="Times New Roman" w:cs="Times New Roman"/>
          <w:color w:val="222222"/>
          <w:sz w:val="24"/>
          <w:szCs w:val="24"/>
          <w:lang w:val="it-IT"/>
        </w:rPr>
        <w:t xml:space="preserve"> (</w:t>
      </w:r>
      <w:r w:rsidR="0083316A" w:rsidRPr="00AE48D5">
        <w:rPr>
          <w:rFonts w:ascii="Times New Roman" w:eastAsia="Times New Roman" w:hAnsi="Times New Roman" w:cs="Times New Roman"/>
          <w:b/>
          <w:bCs/>
          <w:color w:val="222222"/>
          <w:sz w:val="24"/>
          <w:szCs w:val="24"/>
          <w:lang w:val="it-IT"/>
        </w:rPr>
        <w:t>“</w:t>
      </w:r>
      <w:proofErr w:type="spellStart"/>
      <w:r w:rsidR="0083316A" w:rsidRPr="00AE48D5">
        <w:rPr>
          <w:rFonts w:ascii="Times New Roman" w:eastAsia="Times New Roman" w:hAnsi="Times New Roman" w:cs="Times New Roman"/>
          <w:b/>
          <w:bCs/>
          <w:color w:val="222222"/>
          <w:sz w:val="24"/>
          <w:szCs w:val="24"/>
          <w:lang w:val="it-IT"/>
        </w:rPr>
        <w:t>HCOs</w:t>
      </w:r>
      <w:proofErr w:type="spellEnd"/>
      <w:r w:rsidR="0083316A" w:rsidRPr="00AE48D5">
        <w:rPr>
          <w:rFonts w:ascii="Times New Roman" w:eastAsia="Times New Roman" w:hAnsi="Times New Roman" w:cs="Times New Roman"/>
          <w:b/>
          <w:bCs/>
          <w:color w:val="222222"/>
          <w:sz w:val="24"/>
          <w:szCs w:val="24"/>
          <w:lang w:val="it-IT"/>
        </w:rPr>
        <w:t>”</w:t>
      </w:r>
      <w:r w:rsidR="0083316A" w:rsidRPr="00AE48D5">
        <w:rPr>
          <w:rFonts w:ascii="Times New Roman" w:eastAsia="Times New Roman" w:hAnsi="Times New Roman" w:cs="Times New Roman"/>
          <w:color w:val="222222"/>
          <w:sz w:val="24"/>
          <w:szCs w:val="24"/>
          <w:lang w:val="it-IT"/>
        </w:rPr>
        <w:t>)</w:t>
      </w:r>
      <w:r w:rsidR="00F462E1">
        <w:rPr>
          <w:rFonts w:ascii="Times New Roman" w:eastAsia="Times New Roman" w:hAnsi="Times New Roman" w:cs="Times New Roman"/>
          <w:color w:val="222222"/>
          <w:sz w:val="24"/>
          <w:szCs w:val="24"/>
          <w:lang w:val="it-IT"/>
        </w:rPr>
        <w:t>e Associazioni di Pazienti (</w:t>
      </w:r>
      <w:r w:rsidR="00F462E1" w:rsidRPr="00F462E1">
        <w:rPr>
          <w:rFonts w:ascii="Times New Roman" w:eastAsia="Times New Roman" w:hAnsi="Times New Roman" w:cs="Times New Roman"/>
          <w:b/>
          <w:bCs/>
          <w:color w:val="222222"/>
          <w:sz w:val="24"/>
          <w:szCs w:val="24"/>
          <w:lang w:val="it-IT"/>
        </w:rPr>
        <w:t>“</w:t>
      </w:r>
      <w:proofErr w:type="spellStart"/>
      <w:r w:rsidR="00F462E1" w:rsidRPr="00F462E1">
        <w:rPr>
          <w:rFonts w:ascii="Times New Roman" w:eastAsia="Times New Roman" w:hAnsi="Times New Roman" w:cs="Times New Roman"/>
          <w:b/>
          <w:bCs/>
          <w:color w:val="222222"/>
          <w:sz w:val="24"/>
          <w:szCs w:val="24"/>
          <w:lang w:val="it-IT"/>
        </w:rPr>
        <w:t>PAOs</w:t>
      </w:r>
      <w:proofErr w:type="spellEnd"/>
      <w:r w:rsidR="00F462E1" w:rsidRPr="00F462E1">
        <w:rPr>
          <w:rFonts w:ascii="Times New Roman" w:eastAsia="Times New Roman" w:hAnsi="Times New Roman" w:cs="Times New Roman"/>
          <w:b/>
          <w:bCs/>
          <w:color w:val="222222"/>
          <w:sz w:val="24"/>
          <w:szCs w:val="24"/>
          <w:lang w:val="it-IT"/>
        </w:rPr>
        <w:t>”</w:t>
      </w:r>
      <w:r w:rsidR="00F462E1">
        <w:rPr>
          <w:rFonts w:ascii="Times New Roman" w:eastAsia="Times New Roman" w:hAnsi="Times New Roman" w:cs="Times New Roman"/>
          <w:color w:val="222222"/>
          <w:sz w:val="24"/>
          <w:szCs w:val="24"/>
          <w:lang w:val="it-IT"/>
        </w:rPr>
        <w:t>)</w:t>
      </w:r>
      <w:r w:rsidRPr="00AE48D5">
        <w:rPr>
          <w:rFonts w:ascii="Times New Roman" w:eastAsia="Times New Roman" w:hAnsi="Times New Roman" w:cs="Times New Roman"/>
          <w:color w:val="222222"/>
          <w:sz w:val="24"/>
          <w:szCs w:val="24"/>
          <w:lang w:val="it-IT"/>
        </w:rPr>
        <w:t xml:space="preserve"> ("</w:t>
      </w:r>
      <w:r w:rsidRPr="00AE48D5">
        <w:rPr>
          <w:rFonts w:ascii="Times New Roman" w:eastAsia="Times New Roman" w:hAnsi="Times New Roman" w:cs="Times New Roman"/>
          <w:b/>
          <w:bCs/>
          <w:color w:val="222222"/>
          <w:sz w:val="24"/>
          <w:szCs w:val="24"/>
          <w:lang w:val="it-IT"/>
        </w:rPr>
        <w:t>Pubblicazione</w:t>
      </w:r>
      <w:r w:rsidRPr="00AE48D5">
        <w:rPr>
          <w:rFonts w:ascii="Times New Roman" w:eastAsia="Times New Roman" w:hAnsi="Times New Roman" w:cs="Times New Roman"/>
          <w:color w:val="222222"/>
          <w:sz w:val="24"/>
          <w:szCs w:val="24"/>
          <w:lang w:val="it-IT"/>
        </w:rPr>
        <w:t xml:space="preserve">"). In Italia, in ottemperanza alle regole contenute nel Codice EFPIA, le aziende farmaceutiche appartenenti a Farmindustria hanno approvato il Codice </w:t>
      </w:r>
      <w:r w:rsidR="0083316A" w:rsidRPr="00AE48D5">
        <w:rPr>
          <w:rFonts w:ascii="Times New Roman" w:eastAsia="Times New Roman" w:hAnsi="Times New Roman" w:cs="Times New Roman"/>
          <w:color w:val="222222"/>
          <w:sz w:val="24"/>
          <w:szCs w:val="24"/>
          <w:lang w:val="it-IT"/>
        </w:rPr>
        <w:t>D</w:t>
      </w:r>
      <w:r w:rsidRPr="00AE48D5">
        <w:rPr>
          <w:rFonts w:ascii="Times New Roman" w:eastAsia="Times New Roman" w:hAnsi="Times New Roman" w:cs="Times New Roman"/>
          <w:color w:val="222222"/>
          <w:sz w:val="24"/>
          <w:szCs w:val="24"/>
          <w:lang w:val="it-IT"/>
        </w:rPr>
        <w:t>eontologico di Farmindustria.</w:t>
      </w:r>
    </w:p>
    <w:p w14:paraId="24EFD4F5" w14:textId="7B0D6239" w:rsidR="007E2263" w:rsidRPr="00AE48D5" w:rsidRDefault="007E2263" w:rsidP="007E2263">
      <w:pPr>
        <w:spacing w:after="240" w:line="240" w:lineRule="auto"/>
        <w:ind w:left="982"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1.2       </w:t>
      </w:r>
      <w:r w:rsidRPr="00AE48D5">
        <w:rPr>
          <w:rFonts w:ascii="Times New Roman" w:eastAsia="Times New Roman" w:hAnsi="Times New Roman" w:cs="Times New Roman"/>
          <w:color w:val="222222"/>
          <w:sz w:val="24"/>
          <w:szCs w:val="24"/>
          <w:lang w:val="it-IT"/>
        </w:rPr>
        <w:t xml:space="preserve">Astellas si impegna a dichiarare tutti i Trasferimenti di Valore effettuati a favore di Operatori </w:t>
      </w:r>
      <w:r w:rsidR="00AE48D5">
        <w:rPr>
          <w:rFonts w:ascii="Times New Roman" w:eastAsia="Times New Roman" w:hAnsi="Times New Roman" w:cs="Times New Roman"/>
          <w:color w:val="222222"/>
          <w:sz w:val="24"/>
          <w:szCs w:val="24"/>
          <w:lang w:val="it-IT"/>
        </w:rPr>
        <w:t>S</w:t>
      </w:r>
      <w:r w:rsidRPr="00AE48D5">
        <w:rPr>
          <w:rFonts w:ascii="Times New Roman" w:eastAsia="Times New Roman" w:hAnsi="Times New Roman" w:cs="Times New Roman"/>
          <w:color w:val="222222"/>
          <w:sz w:val="24"/>
          <w:szCs w:val="24"/>
          <w:lang w:val="it-IT"/>
        </w:rPr>
        <w:t>anitari</w:t>
      </w:r>
      <w:r w:rsidR="004B7628">
        <w:rPr>
          <w:rFonts w:ascii="Times New Roman" w:eastAsia="Times New Roman" w:hAnsi="Times New Roman" w:cs="Times New Roman"/>
          <w:color w:val="222222"/>
          <w:sz w:val="24"/>
          <w:szCs w:val="24"/>
          <w:lang w:val="it-IT"/>
        </w:rPr>
        <w:t xml:space="preserve">, </w:t>
      </w:r>
      <w:r w:rsidRPr="00AE48D5">
        <w:rPr>
          <w:rFonts w:ascii="Times New Roman" w:eastAsia="Times New Roman" w:hAnsi="Times New Roman" w:cs="Times New Roman"/>
          <w:color w:val="222222"/>
          <w:sz w:val="24"/>
          <w:szCs w:val="24"/>
          <w:lang w:val="it-IT"/>
        </w:rPr>
        <w:t xml:space="preserve">Organizzazioni </w:t>
      </w:r>
      <w:r w:rsidR="00AE48D5">
        <w:rPr>
          <w:rFonts w:ascii="Times New Roman" w:eastAsia="Times New Roman" w:hAnsi="Times New Roman" w:cs="Times New Roman"/>
          <w:color w:val="222222"/>
          <w:sz w:val="24"/>
          <w:szCs w:val="24"/>
          <w:lang w:val="it-IT"/>
        </w:rPr>
        <w:t>S</w:t>
      </w:r>
      <w:r w:rsidRPr="00AE48D5">
        <w:rPr>
          <w:rFonts w:ascii="Times New Roman" w:eastAsia="Times New Roman" w:hAnsi="Times New Roman" w:cs="Times New Roman"/>
          <w:color w:val="222222"/>
          <w:sz w:val="24"/>
          <w:szCs w:val="24"/>
          <w:lang w:val="it-IT"/>
        </w:rPr>
        <w:t>anitarie</w:t>
      </w:r>
      <w:r w:rsidR="004B7628">
        <w:rPr>
          <w:rFonts w:ascii="Times New Roman" w:eastAsia="Times New Roman" w:hAnsi="Times New Roman" w:cs="Times New Roman"/>
          <w:color w:val="222222"/>
          <w:sz w:val="24"/>
          <w:szCs w:val="24"/>
          <w:lang w:val="it-IT"/>
        </w:rPr>
        <w:t xml:space="preserve"> e Associazioni di Pazienti</w:t>
      </w:r>
      <w:r w:rsidRPr="00AE48D5">
        <w:rPr>
          <w:rFonts w:ascii="Times New Roman" w:eastAsia="Times New Roman" w:hAnsi="Times New Roman" w:cs="Times New Roman"/>
          <w:color w:val="222222"/>
          <w:sz w:val="24"/>
          <w:szCs w:val="24"/>
          <w:lang w:val="it-IT"/>
        </w:rPr>
        <w:t xml:space="preserve">, in applicazione del Codice EFPIA e del Codice </w:t>
      </w:r>
      <w:r w:rsidR="0083316A" w:rsidRPr="00AE48D5">
        <w:rPr>
          <w:rFonts w:ascii="Times New Roman" w:eastAsia="Times New Roman" w:hAnsi="Times New Roman" w:cs="Times New Roman"/>
          <w:color w:val="222222"/>
          <w:sz w:val="24"/>
          <w:szCs w:val="24"/>
          <w:lang w:val="it-IT"/>
        </w:rPr>
        <w:t>D</w:t>
      </w:r>
      <w:r w:rsidRPr="00AE48D5">
        <w:rPr>
          <w:rFonts w:ascii="Times New Roman" w:eastAsia="Times New Roman" w:hAnsi="Times New Roman" w:cs="Times New Roman"/>
          <w:color w:val="222222"/>
          <w:sz w:val="24"/>
          <w:szCs w:val="24"/>
          <w:lang w:val="it-IT"/>
        </w:rPr>
        <w:t>eontologico di Farmindustria.</w:t>
      </w:r>
    </w:p>
    <w:p w14:paraId="1FC98A5B" w14:textId="55891F63" w:rsidR="007E2263" w:rsidRPr="00AE48D5" w:rsidRDefault="007E2263" w:rsidP="007E2263">
      <w:pPr>
        <w:spacing w:after="240" w:line="240" w:lineRule="auto"/>
        <w:ind w:left="982"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1.3       </w:t>
      </w:r>
      <w:r w:rsidRPr="00AE48D5">
        <w:rPr>
          <w:rFonts w:ascii="Times New Roman" w:eastAsia="Times New Roman" w:hAnsi="Times New Roman" w:cs="Times New Roman"/>
          <w:color w:val="222222"/>
          <w:sz w:val="24"/>
          <w:szCs w:val="24"/>
          <w:lang w:val="it-IT"/>
        </w:rPr>
        <w:t xml:space="preserve">Il presente documento riassume la metodologia utilizzata da Astellas nella predisposizione della Pubblicazione ai sensi del Codice EFPIA e del Codice </w:t>
      </w:r>
      <w:r w:rsidR="00AE48D5">
        <w:rPr>
          <w:rFonts w:ascii="Times New Roman" w:eastAsia="Times New Roman" w:hAnsi="Times New Roman" w:cs="Times New Roman"/>
          <w:color w:val="222222"/>
          <w:sz w:val="24"/>
          <w:szCs w:val="24"/>
          <w:lang w:val="it-IT"/>
        </w:rPr>
        <w:t>D</w:t>
      </w:r>
      <w:r w:rsidRPr="00AE48D5">
        <w:rPr>
          <w:rFonts w:ascii="Times New Roman" w:eastAsia="Times New Roman" w:hAnsi="Times New Roman" w:cs="Times New Roman"/>
          <w:color w:val="222222"/>
          <w:sz w:val="24"/>
          <w:szCs w:val="24"/>
          <w:lang w:val="it-IT"/>
        </w:rPr>
        <w:t>eontologico di Farmindustria.</w:t>
      </w:r>
    </w:p>
    <w:p w14:paraId="11CD8640" w14:textId="410FCF1F" w:rsidR="007E2263" w:rsidRPr="00AE48D5" w:rsidRDefault="007E2263" w:rsidP="007E2263">
      <w:pPr>
        <w:spacing w:after="240" w:line="240" w:lineRule="auto"/>
        <w:ind w:left="982" w:hanging="720"/>
        <w:jc w:val="both"/>
        <w:textAlignment w:val="top"/>
        <w:outlineLvl w:val="0"/>
        <w:rPr>
          <w:rFonts w:ascii="Times New Roman" w:eastAsia="Times New Roman" w:hAnsi="Times New Roman" w:cs="Times New Roman"/>
          <w:color w:val="222222"/>
          <w:kern w:val="36"/>
          <w:sz w:val="24"/>
          <w:szCs w:val="24"/>
          <w:lang w:val="it-IT"/>
        </w:rPr>
      </w:pPr>
      <w:r w:rsidRPr="00AE48D5">
        <w:rPr>
          <w:rFonts w:ascii="Times New Roman" w:eastAsia="Times New Roman" w:hAnsi="Times New Roman" w:cs="Times New Roman"/>
          <w:b/>
          <w:bCs/>
          <w:color w:val="000000"/>
          <w:kern w:val="36"/>
          <w:sz w:val="24"/>
          <w:szCs w:val="24"/>
          <w:lang w:val="it-IT"/>
        </w:rPr>
        <w:t>2.</w:t>
      </w:r>
      <w:r w:rsidRPr="00AE48D5">
        <w:rPr>
          <w:rFonts w:ascii="Times New Roman" w:eastAsia="Times New Roman" w:hAnsi="Times New Roman" w:cs="Times New Roman"/>
          <w:color w:val="000000"/>
          <w:kern w:val="36"/>
          <w:sz w:val="24"/>
          <w:szCs w:val="24"/>
          <w:lang w:val="it-IT"/>
        </w:rPr>
        <w:t>         </w:t>
      </w:r>
      <w:r w:rsidR="00AE48D5" w:rsidRPr="00AE48D5">
        <w:rPr>
          <w:rFonts w:ascii="Times New Roman" w:eastAsia="Times New Roman" w:hAnsi="Times New Roman" w:cs="Times New Roman"/>
          <w:b/>
          <w:bCs/>
          <w:color w:val="000000"/>
          <w:kern w:val="36"/>
          <w:sz w:val="24"/>
          <w:szCs w:val="24"/>
          <w:lang w:val="it-IT"/>
        </w:rPr>
        <w:t>DEFINIZIONI</w:t>
      </w:r>
    </w:p>
    <w:p w14:paraId="55D3F362" w14:textId="631EB247" w:rsidR="007E2263" w:rsidRPr="00AE48D5" w:rsidRDefault="007E2263" w:rsidP="00AE48D5">
      <w:pPr>
        <w:spacing w:after="240" w:line="240" w:lineRule="auto"/>
        <w:ind w:left="982" w:hanging="720"/>
        <w:jc w:val="both"/>
        <w:textAlignment w:val="top"/>
        <w:outlineLvl w:val="1"/>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color w:val="000000"/>
          <w:sz w:val="24"/>
          <w:szCs w:val="24"/>
          <w:lang w:val="it-IT"/>
        </w:rPr>
        <w:t>2.1       </w:t>
      </w:r>
      <w:r w:rsidRPr="00AE48D5">
        <w:rPr>
          <w:rFonts w:ascii="Times New Roman" w:eastAsia="Times New Roman" w:hAnsi="Times New Roman" w:cs="Times New Roman"/>
          <w:color w:val="222222"/>
          <w:sz w:val="24"/>
          <w:szCs w:val="24"/>
          <w:lang w:val="it-IT"/>
        </w:rPr>
        <w:t xml:space="preserve">Il Codice </w:t>
      </w:r>
      <w:r w:rsidR="00AE48D5">
        <w:rPr>
          <w:rFonts w:ascii="Times New Roman" w:eastAsia="Times New Roman" w:hAnsi="Times New Roman" w:cs="Times New Roman"/>
          <w:color w:val="222222"/>
          <w:sz w:val="24"/>
          <w:szCs w:val="24"/>
          <w:lang w:val="it-IT"/>
        </w:rPr>
        <w:t>D</w:t>
      </w:r>
      <w:r w:rsidRPr="00AE48D5">
        <w:rPr>
          <w:rFonts w:ascii="Times New Roman" w:eastAsia="Times New Roman" w:hAnsi="Times New Roman" w:cs="Times New Roman"/>
          <w:color w:val="222222"/>
          <w:sz w:val="24"/>
          <w:szCs w:val="24"/>
          <w:lang w:val="it-IT"/>
        </w:rPr>
        <w:t>eontologico di Farmindustria (in linea con il Codice EFPIA) definisce i seguenti termini:</w:t>
      </w:r>
      <w:r w:rsidRPr="00AE48D5">
        <w:rPr>
          <w:rFonts w:ascii="Times New Roman" w:eastAsia="Times New Roman" w:hAnsi="Times New Roman" w:cs="Times New Roman"/>
          <w:color w:val="000000"/>
          <w:sz w:val="24"/>
          <w:szCs w:val="24"/>
          <w:lang w:val="it-IT"/>
        </w:rPr>
        <w:t> </w:t>
      </w:r>
    </w:p>
    <w:p w14:paraId="3F2CCA26" w14:textId="77777777" w:rsidR="007E2263" w:rsidRPr="00AE48D5" w:rsidRDefault="007E2263" w:rsidP="00AE48D5">
      <w:pPr>
        <w:numPr>
          <w:ilvl w:val="0"/>
          <w:numId w:val="1"/>
        </w:numPr>
        <w:tabs>
          <w:tab w:val="clear" w:pos="720"/>
          <w:tab w:val="num" w:pos="993"/>
        </w:tabs>
        <w:spacing w:after="0" w:line="240" w:lineRule="auto"/>
        <w:ind w:left="1418" w:hanging="425"/>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color w:val="000000"/>
          <w:sz w:val="24"/>
          <w:szCs w:val="24"/>
          <w:lang w:val="it-IT"/>
        </w:rPr>
        <w:t>"</w:t>
      </w:r>
      <w:r w:rsidRPr="00AE48D5">
        <w:rPr>
          <w:rFonts w:ascii="Times New Roman" w:eastAsia="Times New Roman" w:hAnsi="Times New Roman" w:cs="Times New Roman"/>
          <w:b/>
          <w:bCs/>
          <w:color w:val="000000"/>
          <w:sz w:val="24"/>
          <w:szCs w:val="24"/>
          <w:lang w:val="it-IT"/>
        </w:rPr>
        <w:t>Organizzazione sanitaria</w:t>
      </w:r>
      <w:r w:rsidRPr="00AE48D5">
        <w:rPr>
          <w:rFonts w:ascii="Times New Roman" w:eastAsia="Times New Roman" w:hAnsi="Times New Roman" w:cs="Times New Roman"/>
          <w:color w:val="000000"/>
          <w:sz w:val="24"/>
          <w:szCs w:val="24"/>
          <w:lang w:val="it-IT"/>
        </w:rPr>
        <w:t>": qualsivoglia associazione o organizzazione sanitaria, medica, di ricerca o scientifica (indipendentemente dalla sua forma legale) - (ad es. Ospedali, Cliniche, Fondazioni, ordini professionali, Università o altre Scuole di formazione, enti pubblici in genere, segreterie e fornitori di servizi congressuali) - ad eccezione delle Associazioni di pazienti, che abbia la sede legale o la sede primaria di attività in Europa, oppure attraverso la quale un medico presti i propri servizi.</w:t>
      </w:r>
    </w:p>
    <w:p w14:paraId="3453DB96" w14:textId="77777777" w:rsidR="007E2263" w:rsidRPr="00AE48D5" w:rsidRDefault="007E2263" w:rsidP="00AE48D5">
      <w:pPr>
        <w:spacing w:after="0" w:line="240" w:lineRule="auto"/>
        <w:ind w:left="1560"/>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color w:val="000000"/>
          <w:sz w:val="24"/>
          <w:szCs w:val="24"/>
          <w:lang w:val="it-IT"/>
        </w:rPr>
        <w:t> </w:t>
      </w:r>
    </w:p>
    <w:p w14:paraId="101BE3C9" w14:textId="456461D6" w:rsidR="007E2263" w:rsidRDefault="007E2263" w:rsidP="00AE48D5">
      <w:pPr>
        <w:numPr>
          <w:ilvl w:val="0"/>
          <w:numId w:val="1"/>
        </w:numPr>
        <w:tabs>
          <w:tab w:val="clear" w:pos="720"/>
        </w:tabs>
        <w:spacing w:after="0" w:line="240" w:lineRule="auto"/>
        <w:ind w:left="1418" w:hanging="425"/>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color w:val="000000"/>
          <w:sz w:val="24"/>
          <w:szCs w:val="24"/>
          <w:lang w:val="it-IT"/>
        </w:rPr>
        <w:t>"</w:t>
      </w:r>
      <w:r w:rsidRPr="00AE48D5">
        <w:rPr>
          <w:rFonts w:ascii="Times New Roman" w:eastAsia="Times New Roman" w:hAnsi="Times New Roman" w:cs="Times New Roman"/>
          <w:b/>
          <w:bCs/>
          <w:color w:val="000000"/>
          <w:sz w:val="24"/>
          <w:szCs w:val="24"/>
          <w:lang w:val="it-IT"/>
        </w:rPr>
        <w:t>Operatore sanitario</w:t>
      </w:r>
      <w:r w:rsidRPr="00AE48D5">
        <w:rPr>
          <w:rFonts w:ascii="Times New Roman" w:eastAsia="Times New Roman" w:hAnsi="Times New Roman" w:cs="Times New Roman"/>
          <w:color w:val="000000"/>
          <w:sz w:val="24"/>
          <w:szCs w:val="24"/>
          <w:lang w:val="it-IT"/>
        </w:rPr>
        <w:t>": chiunque eserciti la propria attività nel settore medico, odontoiatrico, della farmacia pubblica, privata o ospedaliera, gli infermieri; i Direttori Generali e Sanitari delle ASL/AO (aziende sanitarie locali e aziende ospedaliere), il personale tecnico e amministrativo delle strutture sanitarie pubbliche e private e ogni altro soggetto che, nell'ambito della propria attività professionale, possa prescrivere, acquistare, dispensare, consigliare o somministrare un prodotto medicinale e che svolga la sua attività prevalente in Europa. Sono esclusi i distributori intermedi di farmaci.</w:t>
      </w:r>
    </w:p>
    <w:p w14:paraId="6A357083" w14:textId="77777777" w:rsidR="00FB7730" w:rsidRDefault="00FB7730" w:rsidP="00FB7730">
      <w:pPr>
        <w:pStyle w:val="Paragrafoelenco"/>
        <w:rPr>
          <w:rFonts w:ascii="Times New Roman" w:eastAsia="Times New Roman" w:hAnsi="Times New Roman" w:cs="Times New Roman"/>
          <w:color w:val="000000"/>
          <w:sz w:val="24"/>
          <w:szCs w:val="24"/>
          <w:lang w:val="it-IT"/>
        </w:rPr>
      </w:pPr>
    </w:p>
    <w:p w14:paraId="63525FE3" w14:textId="44ED08AD" w:rsidR="00FB7730" w:rsidRPr="00AE48D5" w:rsidRDefault="00FB7730" w:rsidP="00AE48D5">
      <w:pPr>
        <w:numPr>
          <w:ilvl w:val="0"/>
          <w:numId w:val="1"/>
        </w:numPr>
        <w:tabs>
          <w:tab w:val="clear" w:pos="720"/>
        </w:tabs>
        <w:spacing w:after="0" w:line="240" w:lineRule="auto"/>
        <w:ind w:left="1418" w:hanging="425"/>
        <w:jc w:val="both"/>
        <w:textAlignment w:val="top"/>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w:t>
      </w:r>
      <w:r w:rsidRPr="00FF3703">
        <w:rPr>
          <w:rFonts w:ascii="Times New Roman" w:eastAsia="Times New Roman" w:hAnsi="Times New Roman" w:cs="Times New Roman"/>
          <w:b/>
          <w:bCs/>
          <w:color w:val="000000"/>
          <w:sz w:val="24"/>
          <w:szCs w:val="24"/>
          <w:lang w:val="it-IT"/>
        </w:rPr>
        <w:t>Associazioni di Pazienti</w:t>
      </w:r>
      <w:r>
        <w:rPr>
          <w:rFonts w:ascii="Times New Roman" w:eastAsia="Times New Roman" w:hAnsi="Times New Roman" w:cs="Times New Roman"/>
          <w:color w:val="000000"/>
          <w:sz w:val="24"/>
          <w:szCs w:val="24"/>
          <w:lang w:val="it-IT"/>
        </w:rPr>
        <w:t xml:space="preserve">”: si tratta di organizzazioni senza scopo di lucro (incluse le organizzazioni ombrello di cui fanno parte) composte principalmente da pazienti </w:t>
      </w:r>
      <w:r>
        <w:rPr>
          <w:rFonts w:ascii="Times New Roman" w:eastAsia="Times New Roman" w:hAnsi="Times New Roman" w:cs="Times New Roman"/>
          <w:color w:val="000000"/>
          <w:sz w:val="24"/>
          <w:szCs w:val="24"/>
          <w:lang w:val="it-IT"/>
        </w:rPr>
        <w:lastRenderedPageBreak/>
        <w:t>e/o assistenti/caregiver – che rappresentano e/o supportano le esigenze dei pazienti e/o degli assistenti/caregiver.</w:t>
      </w:r>
    </w:p>
    <w:p w14:paraId="1CA9A375" w14:textId="77777777" w:rsidR="0083316A" w:rsidRPr="00AE48D5" w:rsidRDefault="0083316A" w:rsidP="00AE48D5">
      <w:pPr>
        <w:pStyle w:val="Paragrafoelenco"/>
        <w:rPr>
          <w:rFonts w:ascii="Times New Roman" w:eastAsia="Times New Roman" w:hAnsi="Times New Roman" w:cs="Times New Roman"/>
          <w:color w:val="000000"/>
          <w:sz w:val="24"/>
          <w:szCs w:val="24"/>
          <w:lang w:val="it-IT"/>
        </w:rPr>
      </w:pPr>
    </w:p>
    <w:p w14:paraId="32F0821E" w14:textId="77777777" w:rsidR="0083316A" w:rsidRPr="00AE48D5" w:rsidRDefault="0083316A" w:rsidP="00AE48D5">
      <w:pPr>
        <w:numPr>
          <w:ilvl w:val="0"/>
          <w:numId w:val="1"/>
        </w:numPr>
        <w:tabs>
          <w:tab w:val="clear" w:pos="720"/>
          <w:tab w:val="num" w:pos="1560"/>
        </w:tabs>
        <w:spacing w:after="0" w:line="240" w:lineRule="auto"/>
        <w:ind w:left="1418" w:hanging="425"/>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color w:val="000000"/>
          <w:sz w:val="24"/>
          <w:szCs w:val="24"/>
          <w:lang w:val="it-IT"/>
        </w:rPr>
        <w:t>"</w:t>
      </w:r>
      <w:r w:rsidRPr="00AE48D5">
        <w:rPr>
          <w:rFonts w:ascii="Times New Roman" w:eastAsia="Times New Roman" w:hAnsi="Times New Roman" w:cs="Times New Roman"/>
          <w:b/>
          <w:bCs/>
          <w:color w:val="000000"/>
          <w:sz w:val="24"/>
          <w:szCs w:val="24"/>
          <w:lang w:val="it-IT"/>
        </w:rPr>
        <w:t>Trasferimenti di valore</w:t>
      </w:r>
      <w:r w:rsidRPr="00AE48D5">
        <w:rPr>
          <w:rFonts w:ascii="Times New Roman" w:eastAsia="Times New Roman" w:hAnsi="Times New Roman" w:cs="Times New Roman"/>
          <w:color w:val="000000"/>
          <w:sz w:val="24"/>
          <w:szCs w:val="24"/>
          <w:lang w:val="it-IT"/>
        </w:rPr>
        <w:t>": trasferimenti economici, diretti e indiretti (in denaro o in altre forme), realizzati a fini promozionali o allo sviluppo e commercializzazione di farmaci per uso umano soggetti a ricetta medica, per servizi promozionali o altro.</w:t>
      </w:r>
    </w:p>
    <w:p w14:paraId="328523A6" w14:textId="7FC59A62" w:rsidR="00A653B9" w:rsidRPr="00FA3CFF" w:rsidRDefault="007E2263" w:rsidP="00FA3CFF">
      <w:pPr>
        <w:numPr>
          <w:ilvl w:val="0"/>
          <w:numId w:val="1"/>
        </w:numPr>
        <w:tabs>
          <w:tab w:val="clear" w:pos="720"/>
          <w:tab w:val="num" w:pos="1560"/>
        </w:tabs>
        <w:spacing w:after="0" w:line="240" w:lineRule="auto"/>
        <w:ind w:left="1418" w:hanging="425"/>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b/>
          <w:bCs/>
          <w:color w:val="000000"/>
          <w:sz w:val="24"/>
          <w:szCs w:val="24"/>
          <w:lang w:val="it-IT"/>
        </w:rPr>
        <w:t>Ricerca e sviluppo (R&amp;S)</w:t>
      </w:r>
      <w:r w:rsidRPr="00AE48D5">
        <w:rPr>
          <w:rFonts w:ascii="Times New Roman" w:eastAsia="Times New Roman" w:hAnsi="Times New Roman" w:cs="Times New Roman"/>
          <w:color w:val="000000"/>
          <w:sz w:val="24"/>
          <w:szCs w:val="24"/>
          <w:lang w:val="it-IT"/>
        </w:rPr>
        <w:t>: i trasferimenti di valore effettuati da Operatori sanitari od Organizzazioni sanitarie e connessi alla pianificazione e alla realizzazione di</w:t>
      </w:r>
      <w:r w:rsidR="00A653B9" w:rsidRPr="00AE48D5">
        <w:rPr>
          <w:rFonts w:ascii="Times New Roman" w:eastAsia="Times New Roman" w:hAnsi="Times New Roman" w:cs="Times New Roman"/>
          <w:color w:val="000000"/>
          <w:sz w:val="24"/>
          <w:szCs w:val="24"/>
          <w:lang w:val="it-IT"/>
        </w:rPr>
        <w:t xml:space="preserve"> (i) </w:t>
      </w:r>
      <w:r w:rsidRPr="00AE48D5">
        <w:rPr>
          <w:rFonts w:ascii="Times New Roman" w:eastAsia="Times New Roman" w:hAnsi="Times New Roman" w:cs="Times New Roman"/>
          <w:color w:val="000000"/>
          <w:sz w:val="24"/>
          <w:szCs w:val="24"/>
          <w:lang w:val="it-IT"/>
        </w:rPr>
        <w:t xml:space="preserve">studi non clinici (come definiti nelle Good </w:t>
      </w:r>
      <w:proofErr w:type="spellStart"/>
      <w:r w:rsidRPr="00AE48D5">
        <w:rPr>
          <w:rFonts w:ascii="Times New Roman" w:eastAsia="Times New Roman" w:hAnsi="Times New Roman" w:cs="Times New Roman"/>
          <w:color w:val="000000"/>
          <w:sz w:val="24"/>
          <w:szCs w:val="24"/>
          <w:lang w:val="it-IT"/>
        </w:rPr>
        <w:t>Laborato</w:t>
      </w:r>
      <w:r w:rsidR="00AE48D5">
        <w:rPr>
          <w:rFonts w:ascii="Times New Roman" w:eastAsia="Times New Roman" w:hAnsi="Times New Roman" w:cs="Times New Roman"/>
          <w:color w:val="000000"/>
          <w:sz w:val="24"/>
          <w:szCs w:val="24"/>
          <w:lang w:val="it-IT"/>
        </w:rPr>
        <w:t>r</w:t>
      </w:r>
      <w:r w:rsidRPr="00AE48D5">
        <w:rPr>
          <w:rFonts w:ascii="Times New Roman" w:eastAsia="Times New Roman" w:hAnsi="Times New Roman" w:cs="Times New Roman"/>
          <w:color w:val="000000"/>
          <w:sz w:val="24"/>
          <w:szCs w:val="24"/>
          <w:lang w:val="it-IT"/>
        </w:rPr>
        <w:t>y</w:t>
      </w:r>
      <w:proofErr w:type="spellEnd"/>
      <w:r w:rsidRPr="00AE48D5">
        <w:rPr>
          <w:rFonts w:ascii="Times New Roman" w:eastAsia="Times New Roman" w:hAnsi="Times New Roman" w:cs="Times New Roman"/>
          <w:color w:val="000000"/>
          <w:sz w:val="24"/>
          <w:szCs w:val="24"/>
          <w:lang w:val="it-IT"/>
        </w:rPr>
        <w:t xml:space="preserve"> Practice dell'OCSE);</w:t>
      </w:r>
      <w:r w:rsidR="00A653B9" w:rsidRPr="00AE48D5">
        <w:rPr>
          <w:rFonts w:ascii="Times New Roman" w:eastAsia="Times New Roman" w:hAnsi="Times New Roman" w:cs="Times New Roman"/>
          <w:color w:val="000000"/>
          <w:sz w:val="24"/>
          <w:szCs w:val="24"/>
          <w:lang w:val="it-IT"/>
        </w:rPr>
        <w:t xml:space="preserve"> (ii) </w:t>
      </w:r>
      <w:r w:rsidRPr="00AE48D5">
        <w:rPr>
          <w:rFonts w:ascii="Times New Roman" w:eastAsia="Times New Roman" w:hAnsi="Times New Roman" w:cs="Times New Roman"/>
          <w:color w:val="000000"/>
          <w:sz w:val="24"/>
          <w:szCs w:val="24"/>
          <w:lang w:val="it-IT"/>
        </w:rPr>
        <w:t>studi clinici (disciplinati dalla Direttiva 2001/20/CE);</w:t>
      </w:r>
      <w:r w:rsidR="00A653B9" w:rsidRPr="00AE48D5">
        <w:rPr>
          <w:rFonts w:ascii="Times New Roman" w:eastAsia="Times New Roman" w:hAnsi="Times New Roman" w:cs="Times New Roman"/>
          <w:color w:val="000000"/>
          <w:sz w:val="24"/>
          <w:szCs w:val="24"/>
          <w:lang w:val="it-IT"/>
        </w:rPr>
        <w:t xml:space="preserve"> (iii) </w:t>
      </w:r>
      <w:r w:rsidRPr="00AE48D5">
        <w:rPr>
          <w:rFonts w:ascii="Times New Roman" w:eastAsia="Times New Roman" w:hAnsi="Times New Roman" w:cs="Times New Roman"/>
          <w:color w:val="000000"/>
          <w:sz w:val="24"/>
          <w:szCs w:val="24"/>
          <w:lang w:val="it-IT"/>
        </w:rPr>
        <w:t>studi non interventistici di natura prospettica e che comportano la raccolta di dati dei pazienti da parte o per conto di singoli o gruppi di Operatori Sanitari ai fini dello studio</w:t>
      </w:r>
      <w:r w:rsidR="00A653B9" w:rsidRPr="00AE48D5">
        <w:rPr>
          <w:rFonts w:ascii="Times New Roman" w:eastAsia="Times New Roman" w:hAnsi="Times New Roman" w:cs="Times New Roman"/>
          <w:color w:val="000000"/>
          <w:sz w:val="24"/>
          <w:szCs w:val="24"/>
          <w:lang w:val="it-IT"/>
        </w:rPr>
        <w:t>.</w:t>
      </w:r>
    </w:p>
    <w:p w14:paraId="23E4E890" w14:textId="77777777" w:rsidR="00A653B9" w:rsidRPr="00AE48D5" w:rsidRDefault="00A653B9" w:rsidP="007E2263">
      <w:pPr>
        <w:spacing w:after="0" w:line="240" w:lineRule="auto"/>
        <w:ind w:left="982"/>
        <w:jc w:val="both"/>
        <w:textAlignment w:val="top"/>
        <w:rPr>
          <w:rFonts w:ascii="Times New Roman" w:eastAsia="Times New Roman" w:hAnsi="Times New Roman" w:cs="Times New Roman"/>
          <w:color w:val="000000"/>
          <w:sz w:val="24"/>
          <w:szCs w:val="24"/>
          <w:lang w:val="it-IT"/>
        </w:rPr>
      </w:pPr>
    </w:p>
    <w:p w14:paraId="0FB2CE0D" w14:textId="3184F59A" w:rsidR="007E2263" w:rsidRPr="00AE48D5" w:rsidRDefault="007E2263" w:rsidP="00AE48D5">
      <w:pPr>
        <w:spacing w:after="240" w:line="240" w:lineRule="auto"/>
        <w:ind w:left="262"/>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222222"/>
          <w:sz w:val="24"/>
          <w:szCs w:val="24"/>
          <w:lang w:val="it-IT"/>
        </w:rPr>
        <w:t>Le categorie di Trasferimenti di valore di cui alla presente metodologia sono conformi alla terminologia utilizzata nel codice EFPIA. Le denominazioni di tali categorie potrebbero discostarsi dalla terminologia impiegata in Italia dal Codice deontologico di Farmindustria.</w:t>
      </w:r>
      <w:r w:rsidRPr="00AE48D5">
        <w:rPr>
          <w:rFonts w:ascii="Times New Roman" w:eastAsia="Times New Roman" w:hAnsi="Times New Roman" w:cs="Times New Roman"/>
          <w:b/>
          <w:bCs/>
          <w:color w:val="222222"/>
          <w:sz w:val="24"/>
          <w:szCs w:val="24"/>
          <w:lang w:val="it-IT"/>
        </w:rPr>
        <w:t>   </w:t>
      </w:r>
    </w:p>
    <w:p w14:paraId="59976F62" w14:textId="4C12A216" w:rsidR="007E2263" w:rsidRPr="00AE48D5" w:rsidRDefault="007E2263" w:rsidP="007E2263">
      <w:pPr>
        <w:spacing w:after="240" w:line="240" w:lineRule="auto"/>
        <w:ind w:left="982" w:hanging="720"/>
        <w:jc w:val="both"/>
        <w:textAlignment w:val="top"/>
        <w:outlineLvl w:val="0"/>
        <w:rPr>
          <w:rFonts w:ascii="Times New Roman" w:eastAsia="Times New Roman" w:hAnsi="Times New Roman" w:cs="Times New Roman"/>
          <w:b/>
          <w:bCs/>
          <w:color w:val="222222"/>
          <w:kern w:val="36"/>
          <w:sz w:val="24"/>
          <w:szCs w:val="24"/>
          <w:lang w:val="it-IT"/>
        </w:rPr>
      </w:pPr>
      <w:r w:rsidRPr="00AE48D5">
        <w:rPr>
          <w:rFonts w:ascii="Times New Roman" w:eastAsia="Times New Roman" w:hAnsi="Times New Roman" w:cs="Times New Roman"/>
          <w:b/>
          <w:bCs/>
          <w:color w:val="000000"/>
          <w:kern w:val="36"/>
          <w:sz w:val="24"/>
          <w:szCs w:val="24"/>
          <w:lang w:val="it-IT"/>
        </w:rPr>
        <w:t>3.</w:t>
      </w:r>
      <w:r w:rsidRPr="00AE48D5">
        <w:rPr>
          <w:rFonts w:ascii="Times New Roman" w:eastAsia="Times New Roman" w:hAnsi="Times New Roman" w:cs="Times New Roman"/>
          <w:color w:val="000000"/>
          <w:kern w:val="36"/>
          <w:sz w:val="24"/>
          <w:szCs w:val="24"/>
          <w:lang w:val="it-IT"/>
        </w:rPr>
        <w:t>          </w:t>
      </w:r>
      <w:r w:rsidR="00AE48D5">
        <w:rPr>
          <w:rFonts w:ascii="Times New Roman" w:eastAsia="Times New Roman" w:hAnsi="Times New Roman" w:cs="Times New Roman"/>
          <w:b/>
          <w:bCs/>
          <w:color w:val="222222"/>
          <w:kern w:val="36"/>
          <w:sz w:val="24"/>
          <w:szCs w:val="24"/>
          <w:lang w:val="it-IT"/>
        </w:rPr>
        <w:t xml:space="preserve">RISERVATEZZA DEI </w:t>
      </w:r>
      <w:r w:rsidR="00CA6A84">
        <w:rPr>
          <w:rFonts w:ascii="Times New Roman" w:eastAsia="Times New Roman" w:hAnsi="Times New Roman" w:cs="Times New Roman"/>
          <w:b/>
          <w:bCs/>
          <w:color w:val="222222"/>
          <w:kern w:val="36"/>
          <w:sz w:val="24"/>
          <w:szCs w:val="24"/>
          <w:lang w:val="it-IT"/>
        </w:rPr>
        <w:t>D</w:t>
      </w:r>
      <w:r w:rsidR="00AE48D5">
        <w:rPr>
          <w:rFonts w:ascii="Times New Roman" w:eastAsia="Times New Roman" w:hAnsi="Times New Roman" w:cs="Times New Roman"/>
          <w:b/>
          <w:bCs/>
          <w:color w:val="222222"/>
          <w:kern w:val="36"/>
          <w:sz w:val="24"/>
          <w:szCs w:val="24"/>
          <w:lang w:val="it-IT"/>
        </w:rPr>
        <w:t>ATI</w:t>
      </w:r>
    </w:p>
    <w:p w14:paraId="2198F851" w14:textId="245E0AD0" w:rsidR="007E2263" w:rsidRPr="00AE48D5" w:rsidRDefault="007E2263" w:rsidP="007E2263">
      <w:pPr>
        <w:spacing w:after="240" w:line="240" w:lineRule="auto"/>
        <w:ind w:left="982"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3.1       </w:t>
      </w:r>
      <w:r w:rsidRPr="00AE48D5">
        <w:rPr>
          <w:rFonts w:ascii="Times New Roman" w:eastAsia="Times New Roman" w:hAnsi="Times New Roman" w:cs="Times New Roman"/>
          <w:color w:val="222222"/>
          <w:sz w:val="24"/>
          <w:szCs w:val="24"/>
          <w:lang w:val="it-IT"/>
        </w:rPr>
        <w:t>Astellas si conforma ai principi di trasparenza e alle norme in materia di protezione dei dati personali, tra cui, in particolare, Regolamento generale sulla protezione dei dati personali dell’UE 2016/679 (denominato “GDPR”). Pertanto, in ottemperanza al GDPR, Astellas raccoglie il consenso alla pubblicazione dei Trasferimenti di Valore da ciascun Operatore sanitario, prima della loro pubblicazione. A tale scopo, Astellas fornisce agli Operatori sanitari una specifica Informativa e un modulo per il conferimento del consenso alla pubblicazione dei dati per le finalità di cui agli artt. 1 e 3 del Codice EFPIA, nonché dell’art. 5 del Codice deontologico di Farmindustria. Analogamente, Astellas mette a disposizione degli Operatori sanitari un modulo per l'aggiornamento, la rettifica o l'integrazione dei dati personali, nonché per la revoca del consenso fornito.</w:t>
      </w:r>
    </w:p>
    <w:p w14:paraId="047AFC9E" w14:textId="757E1E23" w:rsidR="007E2263" w:rsidRPr="00AE48D5" w:rsidRDefault="007E2263" w:rsidP="007E2263">
      <w:pPr>
        <w:spacing w:after="240" w:line="240" w:lineRule="auto"/>
        <w:ind w:left="982"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3.2       </w:t>
      </w:r>
      <w:r w:rsidRPr="00AE48D5">
        <w:rPr>
          <w:rFonts w:ascii="Times New Roman" w:eastAsia="Times New Roman" w:hAnsi="Times New Roman" w:cs="Times New Roman"/>
          <w:color w:val="222222"/>
          <w:sz w:val="24"/>
          <w:szCs w:val="24"/>
          <w:lang w:val="it-IT"/>
        </w:rPr>
        <w:t xml:space="preserve">Come richiesto dal Codice </w:t>
      </w:r>
      <w:r w:rsidR="00AE48D5">
        <w:rPr>
          <w:rFonts w:ascii="Times New Roman" w:eastAsia="Times New Roman" w:hAnsi="Times New Roman" w:cs="Times New Roman"/>
          <w:color w:val="222222"/>
          <w:sz w:val="24"/>
          <w:szCs w:val="24"/>
          <w:lang w:val="it-IT"/>
        </w:rPr>
        <w:t>D</w:t>
      </w:r>
      <w:r w:rsidRPr="00AE48D5">
        <w:rPr>
          <w:rFonts w:ascii="Times New Roman" w:eastAsia="Times New Roman" w:hAnsi="Times New Roman" w:cs="Times New Roman"/>
          <w:color w:val="222222"/>
          <w:sz w:val="24"/>
          <w:szCs w:val="24"/>
          <w:lang w:val="it-IT"/>
        </w:rPr>
        <w:t xml:space="preserve">eontologico di Farmindustria, Astellas si impegna con il massimo sforzo possibile per ottenere il consenso degli Operatori </w:t>
      </w:r>
      <w:r w:rsidR="00AE48D5">
        <w:rPr>
          <w:rFonts w:ascii="Times New Roman" w:eastAsia="Times New Roman" w:hAnsi="Times New Roman" w:cs="Times New Roman"/>
          <w:color w:val="222222"/>
          <w:sz w:val="24"/>
          <w:szCs w:val="24"/>
          <w:lang w:val="it-IT"/>
        </w:rPr>
        <w:t>S</w:t>
      </w:r>
      <w:r w:rsidRPr="00AE48D5">
        <w:rPr>
          <w:rFonts w:ascii="Times New Roman" w:eastAsia="Times New Roman" w:hAnsi="Times New Roman" w:cs="Times New Roman"/>
          <w:color w:val="222222"/>
          <w:sz w:val="24"/>
          <w:szCs w:val="24"/>
          <w:lang w:val="it-IT"/>
        </w:rPr>
        <w:t>anitari alla Pubblicazione.</w:t>
      </w:r>
    </w:p>
    <w:p w14:paraId="0F2AB339" w14:textId="17EBA71C" w:rsidR="007E2263" w:rsidRPr="00AE48D5" w:rsidRDefault="007E2263" w:rsidP="007E2263">
      <w:pPr>
        <w:spacing w:after="240" w:line="240" w:lineRule="auto"/>
        <w:ind w:left="982"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3.3       </w:t>
      </w:r>
      <w:r w:rsidRPr="00AE48D5">
        <w:rPr>
          <w:rFonts w:ascii="Times New Roman" w:eastAsia="Times New Roman" w:hAnsi="Times New Roman" w:cs="Times New Roman"/>
          <w:color w:val="222222"/>
          <w:sz w:val="24"/>
          <w:szCs w:val="24"/>
          <w:lang w:val="it-IT"/>
        </w:rPr>
        <w:t>Le Pubblicazioni dovranno rimanere di dominio pubblico per almeno tre anni e Astellas documenterà tutte le Pubblicazioni e conserv</w:t>
      </w:r>
      <w:r w:rsidR="00AE48D5">
        <w:rPr>
          <w:rFonts w:ascii="Times New Roman" w:eastAsia="Times New Roman" w:hAnsi="Times New Roman" w:cs="Times New Roman"/>
          <w:color w:val="222222"/>
          <w:sz w:val="24"/>
          <w:szCs w:val="24"/>
          <w:lang w:val="it-IT"/>
        </w:rPr>
        <w:t>erà</w:t>
      </w:r>
      <w:r w:rsidRPr="00AE48D5">
        <w:rPr>
          <w:rFonts w:ascii="Times New Roman" w:eastAsia="Times New Roman" w:hAnsi="Times New Roman" w:cs="Times New Roman"/>
          <w:color w:val="222222"/>
          <w:sz w:val="24"/>
          <w:szCs w:val="24"/>
          <w:lang w:val="it-IT"/>
        </w:rPr>
        <w:t xml:space="preserve"> le relative registrazioni per almeno undici anni.</w:t>
      </w:r>
    </w:p>
    <w:p w14:paraId="742A3ED0" w14:textId="7A5C458D" w:rsidR="007E2263" w:rsidRPr="00AE48D5" w:rsidRDefault="007E2263" w:rsidP="007E2263">
      <w:pPr>
        <w:spacing w:after="240" w:line="240" w:lineRule="auto"/>
        <w:ind w:left="982" w:hanging="720"/>
        <w:jc w:val="both"/>
        <w:textAlignment w:val="top"/>
        <w:outlineLvl w:val="0"/>
        <w:rPr>
          <w:rFonts w:ascii="Times New Roman" w:eastAsia="Times New Roman" w:hAnsi="Times New Roman" w:cs="Times New Roman"/>
          <w:color w:val="222222"/>
          <w:kern w:val="36"/>
          <w:sz w:val="24"/>
          <w:szCs w:val="24"/>
          <w:lang w:val="it-IT"/>
        </w:rPr>
      </w:pPr>
      <w:r w:rsidRPr="00AE48D5">
        <w:rPr>
          <w:rFonts w:ascii="Times New Roman" w:eastAsia="Times New Roman" w:hAnsi="Times New Roman" w:cs="Times New Roman"/>
          <w:b/>
          <w:bCs/>
          <w:color w:val="000000"/>
          <w:kern w:val="36"/>
          <w:sz w:val="24"/>
          <w:szCs w:val="24"/>
          <w:lang w:val="it-IT"/>
        </w:rPr>
        <w:t>4.</w:t>
      </w:r>
      <w:r w:rsidRPr="00AE48D5">
        <w:rPr>
          <w:rFonts w:ascii="Times New Roman" w:eastAsia="Times New Roman" w:hAnsi="Times New Roman" w:cs="Times New Roman"/>
          <w:color w:val="000000"/>
          <w:kern w:val="36"/>
          <w:sz w:val="24"/>
          <w:szCs w:val="24"/>
          <w:lang w:val="it-IT"/>
        </w:rPr>
        <w:t>         </w:t>
      </w:r>
      <w:r w:rsidRPr="00AE48D5">
        <w:rPr>
          <w:rFonts w:ascii="Times New Roman" w:eastAsia="Times New Roman" w:hAnsi="Times New Roman" w:cs="Times New Roman"/>
          <w:b/>
          <w:bCs/>
          <w:color w:val="222222"/>
          <w:kern w:val="36"/>
          <w:sz w:val="24"/>
          <w:szCs w:val="24"/>
          <w:lang w:val="it-IT"/>
        </w:rPr>
        <w:t>TRASFERIMENTI DI VALORE</w:t>
      </w:r>
    </w:p>
    <w:p w14:paraId="13B898BE" w14:textId="6D546D31" w:rsidR="007E2263" w:rsidRPr="00AE48D5" w:rsidRDefault="007E2263" w:rsidP="007E2263">
      <w:pPr>
        <w:spacing w:after="240" w:line="240" w:lineRule="auto"/>
        <w:ind w:left="982"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4.1       </w:t>
      </w:r>
      <w:r w:rsidRPr="00AE48D5">
        <w:rPr>
          <w:rFonts w:ascii="Times New Roman" w:eastAsia="Times New Roman" w:hAnsi="Times New Roman" w:cs="Times New Roman"/>
          <w:color w:val="222222"/>
          <w:sz w:val="24"/>
          <w:szCs w:val="24"/>
          <w:lang w:val="it-IT"/>
        </w:rPr>
        <w:t>Astellas è tenuta a dichiarare i seguenti Trasferimenti di Valore effettuati a </w:t>
      </w:r>
      <w:r w:rsidRPr="00AE48D5">
        <w:rPr>
          <w:rFonts w:ascii="Times New Roman" w:eastAsia="Times New Roman" w:hAnsi="Times New Roman" w:cs="Times New Roman"/>
          <w:b/>
          <w:bCs/>
          <w:color w:val="222222"/>
          <w:sz w:val="24"/>
          <w:szCs w:val="24"/>
          <w:lang w:val="it-IT"/>
        </w:rPr>
        <w:t xml:space="preserve">Organizzazioni </w:t>
      </w:r>
      <w:r w:rsidR="00AE48D5">
        <w:rPr>
          <w:rFonts w:ascii="Times New Roman" w:eastAsia="Times New Roman" w:hAnsi="Times New Roman" w:cs="Times New Roman"/>
          <w:b/>
          <w:bCs/>
          <w:color w:val="222222"/>
          <w:sz w:val="24"/>
          <w:szCs w:val="24"/>
          <w:lang w:val="it-IT"/>
        </w:rPr>
        <w:t>S</w:t>
      </w:r>
      <w:r w:rsidRPr="00AE48D5">
        <w:rPr>
          <w:rFonts w:ascii="Times New Roman" w:eastAsia="Times New Roman" w:hAnsi="Times New Roman" w:cs="Times New Roman"/>
          <w:b/>
          <w:bCs/>
          <w:color w:val="222222"/>
          <w:sz w:val="24"/>
          <w:szCs w:val="24"/>
          <w:lang w:val="it-IT"/>
        </w:rPr>
        <w:t>anitarie</w:t>
      </w:r>
      <w:r w:rsidRPr="00AE48D5">
        <w:rPr>
          <w:rFonts w:ascii="Times New Roman" w:eastAsia="Times New Roman" w:hAnsi="Times New Roman" w:cs="Times New Roman"/>
          <w:color w:val="222222"/>
          <w:sz w:val="24"/>
          <w:szCs w:val="24"/>
          <w:lang w:val="it-IT"/>
        </w:rPr>
        <w:t>:</w:t>
      </w:r>
    </w:p>
    <w:p w14:paraId="2BC86925" w14:textId="1D8974E6" w:rsidR="007E2263" w:rsidRPr="00AE48D5" w:rsidRDefault="007E2263" w:rsidP="00AE48D5">
      <w:pPr>
        <w:numPr>
          <w:ilvl w:val="0"/>
          <w:numId w:val="2"/>
        </w:numPr>
        <w:tabs>
          <w:tab w:val="clear" w:pos="1014"/>
          <w:tab w:val="num" w:pos="1418"/>
        </w:tabs>
        <w:spacing w:after="0" w:line="240" w:lineRule="auto"/>
        <w:ind w:left="1418"/>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b/>
          <w:bCs/>
          <w:color w:val="000000"/>
          <w:sz w:val="24"/>
          <w:szCs w:val="24"/>
          <w:lang w:val="it-IT"/>
        </w:rPr>
        <w:t>Donazioni e contributi</w:t>
      </w:r>
      <w:r w:rsidRPr="00AE48D5">
        <w:rPr>
          <w:rFonts w:ascii="Times New Roman" w:eastAsia="Times New Roman" w:hAnsi="Times New Roman" w:cs="Times New Roman"/>
          <w:color w:val="000000"/>
          <w:sz w:val="24"/>
          <w:szCs w:val="24"/>
          <w:lang w:val="it-IT"/>
        </w:rPr>
        <w:t>: erogazioni, in denaro o in natura, effettuati direttamente a Organizzazioni sanitarie.</w:t>
      </w:r>
    </w:p>
    <w:p w14:paraId="42768C27" w14:textId="77777777" w:rsidR="007E2263" w:rsidRPr="00AE48D5" w:rsidRDefault="007E2263" w:rsidP="007E2263">
      <w:pPr>
        <w:spacing w:after="0" w:line="240" w:lineRule="auto"/>
        <w:ind w:left="982"/>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color w:val="000000"/>
          <w:sz w:val="24"/>
          <w:szCs w:val="24"/>
          <w:lang w:val="it-IT"/>
        </w:rPr>
        <w:t> </w:t>
      </w:r>
    </w:p>
    <w:p w14:paraId="58EB9A98" w14:textId="503375C7" w:rsidR="007E2263" w:rsidRPr="00AE48D5" w:rsidRDefault="007E2263" w:rsidP="00AE48D5">
      <w:pPr>
        <w:numPr>
          <w:ilvl w:val="0"/>
          <w:numId w:val="2"/>
        </w:numPr>
        <w:tabs>
          <w:tab w:val="clear" w:pos="1014"/>
        </w:tabs>
        <w:spacing w:after="0" w:line="240" w:lineRule="auto"/>
        <w:ind w:left="1418"/>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b/>
          <w:bCs/>
          <w:color w:val="000000"/>
          <w:sz w:val="24"/>
          <w:szCs w:val="24"/>
          <w:lang w:val="it-IT"/>
        </w:rPr>
        <w:lastRenderedPageBreak/>
        <w:t>Contributi per il finanziamento di eventi</w:t>
      </w:r>
      <w:r w:rsidRPr="00AE48D5">
        <w:rPr>
          <w:rFonts w:ascii="Times New Roman" w:eastAsia="Times New Roman" w:hAnsi="Times New Roman" w:cs="Times New Roman"/>
          <w:color w:val="000000"/>
          <w:sz w:val="24"/>
          <w:szCs w:val="24"/>
          <w:lang w:val="it-IT"/>
        </w:rPr>
        <w:t>: spese relative alla sponsorizzazione delle Organizzazioni sanitarie come organizzatori e/o segreterie e di terzi per conto delle Organizzazioni sanitarie in cambio di benefici aziendali all’evento (es. spazio per gli stand, ospitalità ad un simposio, stand, pubblicità su programmi o banner e noleggio di sale o catering se pagati per conto di un’Organizzazione sanitaria). Ciò può anche includere attività quali il tirocinio, in cui le spese sono pagate alle HCO per organizzare eventi educativi.</w:t>
      </w:r>
    </w:p>
    <w:p w14:paraId="61969EAC" w14:textId="77777777" w:rsidR="007E2263" w:rsidRPr="00AE48D5" w:rsidRDefault="007E2263" w:rsidP="007E2263">
      <w:pPr>
        <w:spacing w:after="0" w:line="240" w:lineRule="auto"/>
        <w:ind w:left="982"/>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color w:val="000000"/>
          <w:sz w:val="24"/>
          <w:szCs w:val="24"/>
          <w:lang w:val="it-IT"/>
        </w:rPr>
        <w:t> </w:t>
      </w:r>
    </w:p>
    <w:p w14:paraId="6A520413" w14:textId="613A3213" w:rsidR="007E2263" w:rsidRPr="00AE48D5" w:rsidRDefault="007E2263" w:rsidP="00AE48D5">
      <w:pPr>
        <w:numPr>
          <w:ilvl w:val="0"/>
          <w:numId w:val="2"/>
        </w:numPr>
        <w:tabs>
          <w:tab w:val="clear" w:pos="1014"/>
        </w:tabs>
        <w:spacing w:after="0" w:line="240" w:lineRule="auto"/>
        <w:ind w:left="1418"/>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b/>
          <w:bCs/>
          <w:color w:val="000000"/>
          <w:sz w:val="24"/>
          <w:szCs w:val="24"/>
          <w:lang w:val="it-IT"/>
        </w:rPr>
        <w:t>Corrispettivi</w:t>
      </w:r>
      <w:r w:rsidRPr="00AE48D5">
        <w:rPr>
          <w:rFonts w:ascii="Times New Roman" w:eastAsia="Times New Roman" w:hAnsi="Times New Roman" w:cs="Times New Roman"/>
          <w:color w:val="000000"/>
          <w:sz w:val="24"/>
          <w:szCs w:val="24"/>
          <w:lang w:val="it-IT"/>
        </w:rPr>
        <w:t>: transazioni economiche che corrispondono a compensi per prestazioni professionali o consulenze risultanti o associate a un contratto tra azienda e istituti, organizzazioni o associazioni di Operatori sanitari nell’ambito del quale tali istituti, organizzazioni o associazioni forniscono qualsivoglia tipo di servizio a un’azienda non ricompreso nelle precedenti categorie. Tali Corrispettivi e Trasferimenti di Valore saranno pubblicati separatamente, sotto le categorie "Corrispettivi" e “Spese riferibili ad attività di consulenza e prestazioni professionali risultanti da uno specifico contratto, comprendenti le relative spese di viaggio e ospitalità”.</w:t>
      </w:r>
    </w:p>
    <w:p w14:paraId="677333B4" w14:textId="77777777" w:rsidR="007E2263" w:rsidRPr="00AE48D5" w:rsidRDefault="007E2263" w:rsidP="007E2263">
      <w:pPr>
        <w:spacing w:after="0" w:line="240" w:lineRule="auto"/>
        <w:ind w:left="982"/>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color w:val="000000"/>
          <w:sz w:val="24"/>
          <w:szCs w:val="24"/>
          <w:lang w:val="it-IT"/>
        </w:rPr>
        <w:t> </w:t>
      </w:r>
    </w:p>
    <w:p w14:paraId="49936252" w14:textId="6AD2BCB9" w:rsidR="007E2263" w:rsidRPr="00AE48D5" w:rsidRDefault="007E2263" w:rsidP="007E2263">
      <w:pPr>
        <w:spacing w:after="240" w:line="240" w:lineRule="auto"/>
        <w:ind w:left="982"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4.2       </w:t>
      </w:r>
      <w:r w:rsidRPr="00AE48D5">
        <w:rPr>
          <w:rFonts w:ascii="Times New Roman" w:eastAsia="Times New Roman" w:hAnsi="Times New Roman" w:cs="Times New Roman"/>
          <w:color w:val="222222"/>
          <w:sz w:val="24"/>
          <w:szCs w:val="24"/>
          <w:lang w:val="it-IT"/>
        </w:rPr>
        <w:t>Astellas è tenuta a dichiarare i seguenti Trasferimenti di Valore effettuati a favore di </w:t>
      </w:r>
      <w:r w:rsidRPr="00AE48D5">
        <w:rPr>
          <w:rFonts w:ascii="Times New Roman" w:eastAsia="Times New Roman" w:hAnsi="Times New Roman" w:cs="Times New Roman"/>
          <w:b/>
          <w:bCs/>
          <w:color w:val="222222"/>
          <w:sz w:val="24"/>
          <w:szCs w:val="24"/>
          <w:lang w:val="it-IT"/>
        </w:rPr>
        <w:t>Operatori sanitari</w:t>
      </w:r>
      <w:r w:rsidRPr="00AE48D5">
        <w:rPr>
          <w:rFonts w:ascii="Times New Roman" w:eastAsia="Times New Roman" w:hAnsi="Times New Roman" w:cs="Times New Roman"/>
          <w:color w:val="222222"/>
          <w:sz w:val="24"/>
          <w:szCs w:val="24"/>
          <w:lang w:val="it-IT"/>
        </w:rPr>
        <w:t>:</w:t>
      </w:r>
    </w:p>
    <w:p w14:paraId="362FCD24" w14:textId="3D566B34" w:rsidR="007E2263" w:rsidRPr="00AE48D5" w:rsidRDefault="007E2263" w:rsidP="00AE48D5">
      <w:pPr>
        <w:numPr>
          <w:ilvl w:val="0"/>
          <w:numId w:val="3"/>
        </w:numPr>
        <w:tabs>
          <w:tab w:val="clear" w:pos="720"/>
          <w:tab w:val="num" w:pos="1418"/>
        </w:tabs>
        <w:spacing w:after="0" w:line="240" w:lineRule="auto"/>
        <w:ind w:left="1418" w:hanging="425"/>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b/>
          <w:bCs/>
          <w:color w:val="000000"/>
          <w:sz w:val="24"/>
          <w:szCs w:val="24"/>
          <w:lang w:val="it-IT"/>
        </w:rPr>
        <w:t>Quote di iscrizione a eventi congressuali e formativi</w:t>
      </w:r>
      <w:r w:rsidRPr="00AE48D5">
        <w:rPr>
          <w:rFonts w:ascii="Times New Roman" w:eastAsia="Times New Roman" w:hAnsi="Times New Roman" w:cs="Times New Roman"/>
          <w:color w:val="000000"/>
          <w:sz w:val="24"/>
          <w:szCs w:val="24"/>
          <w:lang w:val="it-IT"/>
        </w:rPr>
        <w:t>: spese legate all'iscrizione di un Operatore sanitario per la partecipazione a un evento congressuale o formativo.</w:t>
      </w:r>
    </w:p>
    <w:p w14:paraId="62DDA063" w14:textId="77777777" w:rsidR="007E2263" w:rsidRPr="00AE48D5" w:rsidRDefault="007E2263" w:rsidP="007E2263">
      <w:pPr>
        <w:spacing w:after="0" w:line="240" w:lineRule="auto"/>
        <w:ind w:left="709" w:hanging="425"/>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b/>
          <w:bCs/>
          <w:color w:val="000000"/>
          <w:sz w:val="24"/>
          <w:szCs w:val="24"/>
          <w:lang w:val="it-IT"/>
        </w:rPr>
        <w:t> </w:t>
      </w:r>
    </w:p>
    <w:p w14:paraId="6B5EECA6" w14:textId="77777777" w:rsidR="007E2263" w:rsidRPr="00AE48D5" w:rsidRDefault="007E2263" w:rsidP="00AE48D5">
      <w:pPr>
        <w:numPr>
          <w:ilvl w:val="0"/>
          <w:numId w:val="3"/>
        </w:numPr>
        <w:tabs>
          <w:tab w:val="clear" w:pos="720"/>
          <w:tab w:val="num" w:pos="1560"/>
        </w:tabs>
        <w:spacing w:after="0" w:line="240" w:lineRule="auto"/>
        <w:ind w:left="1418" w:hanging="425"/>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b/>
          <w:bCs/>
          <w:color w:val="000000"/>
          <w:sz w:val="24"/>
          <w:szCs w:val="24"/>
          <w:lang w:val="it-IT"/>
        </w:rPr>
        <w:t>Viaggi</w:t>
      </w:r>
      <w:r w:rsidRPr="00AE48D5">
        <w:rPr>
          <w:rFonts w:ascii="Times New Roman" w:eastAsia="Times New Roman" w:hAnsi="Times New Roman" w:cs="Times New Roman"/>
          <w:color w:val="000000"/>
          <w:sz w:val="24"/>
          <w:szCs w:val="24"/>
          <w:lang w:val="it-IT"/>
        </w:rPr>
        <w:t>:</w:t>
      </w:r>
      <w:r w:rsidRPr="00AE48D5">
        <w:rPr>
          <w:rFonts w:ascii="Times New Roman" w:eastAsia="Times New Roman" w:hAnsi="Times New Roman" w:cs="Times New Roman"/>
          <w:b/>
          <w:bCs/>
          <w:color w:val="000000"/>
          <w:sz w:val="24"/>
          <w:szCs w:val="24"/>
          <w:lang w:val="it-IT"/>
        </w:rPr>
        <w:t> </w:t>
      </w:r>
      <w:r w:rsidRPr="00AE48D5">
        <w:rPr>
          <w:rFonts w:ascii="Times New Roman" w:eastAsia="Times New Roman" w:hAnsi="Times New Roman" w:cs="Times New Roman"/>
          <w:color w:val="000000"/>
          <w:sz w:val="24"/>
          <w:szCs w:val="24"/>
          <w:lang w:val="it-IT"/>
        </w:rPr>
        <w:t>spese legate alla trasferta di Operatori sanitari in relazione a un contratto di servizi (ad es. biglietti ferroviari, spostamenti in taxi, voli aerei, rimborsi chilometrici per trasferte con auto privata) ovvero alla partecipazione a eventi congressuali o formativi. Laddove occorra sostenere spese di viaggio per la prestazione di un servizio, esse saranno dichiarate nella categoria “Spese riferibili ad attività di consulenza e prestazioni professionali risultanti da uno specifico contratto, comprendenti le relative spese di viaggio e ospitalità”. In assenza di prestazione di servizi e laddove le spese facciano riferimento a costi sostenuti per eventi congressuali o formativi, esse saranno dichiarate nella categoria "Viaggi e ospitalità".</w:t>
      </w:r>
    </w:p>
    <w:p w14:paraId="33A991B8" w14:textId="77777777" w:rsidR="007E2263" w:rsidRPr="00AE48D5" w:rsidRDefault="007E2263" w:rsidP="007E2263">
      <w:pPr>
        <w:spacing w:after="0" w:line="240" w:lineRule="auto"/>
        <w:ind w:left="709" w:hanging="425"/>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color w:val="000000"/>
          <w:sz w:val="24"/>
          <w:szCs w:val="24"/>
          <w:lang w:val="it-IT"/>
        </w:rPr>
        <w:t> </w:t>
      </w:r>
    </w:p>
    <w:p w14:paraId="0B480B9A" w14:textId="375B86F4" w:rsidR="007E2263" w:rsidRPr="00AE48D5" w:rsidRDefault="007E2263" w:rsidP="005B6935">
      <w:pPr>
        <w:numPr>
          <w:ilvl w:val="0"/>
          <w:numId w:val="3"/>
        </w:numPr>
        <w:tabs>
          <w:tab w:val="clear" w:pos="720"/>
        </w:tabs>
        <w:spacing w:after="0" w:line="240" w:lineRule="auto"/>
        <w:ind w:left="1418" w:hanging="425"/>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b/>
          <w:bCs/>
          <w:color w:val="000000"/>
          <w:sz w:val="24"/>
          <w:szCs w:val="24"/>
          <w:lang w:val="it-IT"/>
        </w:rPr>
        <w:t>Ospitalità</w:t>
      </w:r>
      <w:r w:rsidRPr="00AE48D5">
        <w:rPr>
          <w:rFonts w:ascii="Times New Roman" w:eastAsia="Times New Roman" w:hAnsi="Times New Roman" w:cs="Times New Roman"/>
          <w:color w:val="000000"/>
          <w:sz w:val="24"/>
          <w:szCs w:val="24"/>
          <w:lang w:val="it-IT"/>
        </w:rPr>
        <w:t>: le spese legate alla fornitura di forme di ospitalità per gli Operatori sanitari nell'ambito di contratti di servizi o della partecipazione a eventi congressuali o formativi. Tali spese saranno dichiarate nella categoria “Spese riferibili ad attività di consulenza e prestazioni professionali risultanti da uno specifico contratto”, ove siano necessarie per la prestazione di consulenze specialistiche e come corrispettivo per un servizio. In assenza di prestazione di servizi e laddove le spese facciano riferimento a costi sostenuti per eventi congressuali o formativi, esse saranno dichiarate nella categoria “Viaggi e ospitalità”.</w:t>
      </w:r>
    </w:p>
    <w:p w14:paraId="65F1B88F" w14:textId="77777777" w:rsidR="007E2263" w:rsidRPr="00AE48D5" w:rsidRDefault="007E2263" w:rsidP="007E2263">
      <w:pPr>
        <w:spacing w:after="0" w:line="240" w:lineRule="auto"/>
        <w:ind w:left="709" w:hanging="425"/>
        <w:jc w:val="both"/>
        <w:textAlignment w:val="top"/>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222222"/>
          <w:sz w:val="24"/>
          <w:szCs w:val="24"/>
          <w:lang w:val="it-IT"/>
        </w:rPr>
        <w:t> </w:t>
      </w:r>
    </w:p>
    <w:p w14:paraId="054226D6" w14:textId="6317FBCE" w:rsidR="007E2263" w:rsidRDefault="007E2263" w:rsidP="005B6935">
      <w:pPr>
        <w:numPr>
          <w:ilvl w:val="0"/>
          <w:numId w:val="4"/>
        </w:numPr>
        <w:tabs>
          <w:tab w:val="clear" w:pos="720"/>
        </w:tabs>
        <w:spacing w:after="0" w:line="240" w:lineRule="auto"/>
        <w:ind w:left="1418" w:hanging="425"/>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b/>
          <w:bCs/>
          <w:color w:val="000000"/>
          <w:sz w:val="24"/>
          <w:szCs w:val="24"/>
          <w:lang w:val="it-IT"/>
        </w:rPr>
        <w:t>Corrispettiv</w:t>
      </w:r>
      <w:r w:rsidR="005B6935">
        <w:rPr>
          <w:rFonts w:ascii="Times New Roman" w:eastAsia="Times New Roman" w:hAnsi="Times New Roman" w:cs="Times New Roman"/>
          <w:b/>
          <w:bCs/>
          <w:color w:val="000000"/>
          <w:sz w:val="24"/>
          <w:szCs w:val="24"/>
          <w:lang w:val="it-IT"/>
        </w:rPr>
        <w:t>i</w:t>
      </w:r>
      <w:r w:rsidRPr="00AE48D5">
        <w:rPr>
          <w:rFonts w:ascii="Times New Roman" w:eastAsia="Times New Roman" w:hAnsi="Times New Roman" w:cs="Times New Roman"/>
          <w:color w:val="000000"/>
          <w:sz w:val="24"/>
          <w:szCs w:val="24"/>
          <w:lang w:val="it-IT"/>
        </w:rPr>
        <w:t xml:space="preserve">: Trasferimenti di Valore versati ad Operatori Sanitari per fornire servizi ad Astellas, Questi possono includere partecipazione ad </w:t>
      </w:r>
      <w:proofErr w:type="spellStart"/>
      <w:r w:rsidRPr="00AE48D5">
        <w:rPr>
          <w:rFonts w:ascii="Times New Roman" w:eastAsia="Times New Roman" w:hAnsi="Times New Roman" w:cs="Times New Roman"/>
          <w:color w:val="000000"/>
          <w:sz w:val="24"/>
          <w:szCs w:val="24"/>
          <w:lang w:val="it-IT"/>
        </w:rPr>
        <w:t>Advisory</w:t>
      </w:r>
      <w:proofErr w:type="spellEnd"/>
      <w:r w:rsidRPr="00AE48D5">
        <w:rPr>
          <w:rFonts w:ascii="Times New Roman" w:eastAsia="Times New Roman" w:hAnsi="Times New Roman" w:cs="Times New Roman"/>
          <w:color w:val="000000"/>
          <w:sz w:val="24"/>
          <w:szCs w:val="24"/>
          <w:lang w:val="it-IT"/>
        </w:rPr>
        <w:t xml:space="preserve"> Board, </w:t>
      </w:r>
      <w:r w:rsidRPr="00AE48D5">
        <w:rPr>
          <w:rFonts w:ascii="Times New Roman" w:eastAsia="Times New Roman" w:hAnsi="Times New Roman" w:cs="Times New Roman"/>
          <w:color w:val="000000"/>
          <w:sz w:val="24"/>
          <w:szCs w:val="24"/>
          <w:lang w:val="it-IT"/>
        </w:rPr>
        <w:lastRenderedPageBreak/>
        <w:t>interventi come relatori o altri servizi di consulenza. Corrispettivi e Trasferimenti di Valore riguardanti le spese concordate in un contratto scritto avente ad oggetto l’attività saranno dichiarati come importi distinti, nella categoria “Corrispettivo” e “Spese riferibili ad attività di consulenza e prestazioni professionali risultanti da uno specifico contratto”.</w:t>
      </w:r>
    </w:p>
    <w:p w14:paraId="27A2AEF9" w14:textId="77777777" w:rsidR="004B6EDE" w:rsidRDefault="004B6EDE" w:rsidP="004B6EDE">
      <w:pPr>
        <w:spacing w:after="0" w:line="240" w:lineRule="auto"/>
        <w:ind w:left="1418"/>
        <w:jc w:val="both"/>
        <w:textAlignment w:val="top"/>
        <w:rPr>
          <w:rFonts w:ascii="Times New Roman" w:eastAsia="Times New Roman" w:hAnsi="Times New Roman" w:cs="Times New Roman"/>
          <w:color w:val="000000"/>
          <w:sz w:val="24"/>
          <w:szCs w:val="24"/>
          <w:lang w:val="it-IT"/>
        </w:rPr>
      </w:pPr>
    </w:p>
    <w:p w14:paraId="18BC782B" w14:textId="4716868D" w:rsidR="004B6EDE" w:rsidRDefault="004B6EDE" w:rsidP="004B6EDE">
      <w:pPr>
        <w:spacing w:after="240" w:line="240" w:lineRule="auto"/>
        <w:ind w:left="709" w:hanging="709"/>
        <w:jc w:val="both"/>
        <w:textAlignment w:val="top"/>
        <w:outlineLvl w:val="1"/>
        <w:rPr>
          <w:rFonts w:ascii="Times New Roman" w:eastAsia="Times New Roman" w:hAnsi="Times New Roman" w:cs="Times New Roman"/>
          <w:color w:val="000000"/>
          <w:sz w:val="24"/>
          <w:szCs w:val="24"/>
          <w:lang w:val="it-IT"/>
        </w:rPr>
      </w:pPr>
      <w:r w:rsidRPr="004B6EDE">
        <w:rPr>
          <w:rFonts w:ascii="Times New Roman" w:eastAsia="Times New Roman" w:hAnsi="Times New Roman" w:cs="Times New Roman"/>
          <w:color w:val="000000"/>
          <w:sz w:val="24"/>
          <w:szCs w:val="24"/>
          <w:lang w:val="it-IT"/>
        </w:rPr>
        <w:t xml:space="preserve">4.3 </w:t>
      </w:r>
      <w:r>
        <w:rPr>
          <w:rFonts w:ascii="Times New Roman" w:eastAsia="Times New Roman" w:hAnsi="Times New Roman" w:cs="Times New Roman"/>
          <w:color w:val="000000"/>
          <w:sz w:val="24"/>
          <w:szCs w:val="24"/>
          <w:lang w:val="it-IT"/>
        </w:rPr>
        <w:t xml:space="preserve">Astellas è tenuta a dichiarare i seguenti Trasferimenti di Valore effettuati a favore di </w:t>
      </w:r>
      <w:r w:rsidRPr="004B6EDE">
        <w:rPr>
          <w:rFonts w:ascii="Times New Roman" w:eastAsia="Times New Roman" w:hAnsi="Times New Roman" w:cs="Times New Roman"/>
          <w:b/>
          <w:bCs/>
          <w:color w:val="000000"/>
          <w:sz w:val="24"/>
          <w:szCs w:val="24"/>
          <w:lang w:val="it-IT"/>
        </w:rPr>
        <w:t>Associazioni di Pazienti</w:t>
      </w:r>
      <w:r>
        <w:rPr>
          <w:rFonts w:ascii="Times New Roman" w:eastAsia="Times New Roman" w:hAnsi="Times New Roman" w:cs="Times New Roman"/>
          <w:color w:val="000000"/>
          <w:sz w:val="24"/>
          <w:szCs w:val="24"/>
          <w:lang w:val="it-IT"/>
        </w:rPr>
        <w:t xml:space="preserve">: </w:t>
      </w:r>
    </w:p>
    <w:p w14:paraId="4E0E8EFC" w14:textId="5F56B917" w:rsidR="00987BD0" w:rsidRPr="00B9402D" w:rsidRDefault="00B9402D" w:rsidP="00D470E0">
      <w:pPr>
        <w:numPr>
          <w:ilvl w:val="0"/>
          <w:numId w:val="4"/>
        </w:numPr>
        <w:tabs>
          <w:tab w:val="clear" w:pos="720"/>
        </w:tabs>
        <w:spacing w:after="0" w:line="276" w:lineRule="auto"/>
        <w:ind w:left="1418" w:hanging="425"/>
        <w:jc w:val="both"/>
        <w:textAlignment w:val="top"/>
        <w:rPr>
          <w:rFonts w:ascii="Times New Roman" w:eastAsia="Times New Roman" w:hAnsi="Times New Roman" w:cs="Times New Roman"/>
          <w:color w:val="000000"/>
          <w:sz w:val="24"/>
          <w:szCs w:val="24"/>
          <w:lang w:val="it-IT"/>
        </w:rPr>
      </w:pPr>
      <w:r w:rsidRPr="00B9402D">
        <w:rPr>
          <w:rFonts w:ascii="Times New Roman" w:eastAsia="Times New Roman" w:hAnsi="Times New Roman" w:cs="Times New Roman"/>
          <w:b/>
          <w:bCs/>
          <w:color w:val="000000"/>
          <w:sz w:val="24"/>
          <w:szCs w:val="24"/>
          <w:lang w:val="it-IT"/>
        </w:rPr>
        <w:t>donazioni e contributi</w:t>
      </w:r>
      <w:r w:rsidRPr="00B9402D">
        <w:rPr>
          <w:rFonts w:ascii="Times New Roman" w:eastAsia="Times New Roman" w:hAnsi="Times New Roman" w:cs="Times New Roman"/>
          <w:color w:val="000000"/>
          <w:sz w:val="24"/>
          <w:szCs w:val="24"/>
          <w:lang w:val="it-IT"/>
        </w:rPr>
        <w:t xml:space="preserve"> sia in denaro sia sottoforma di beni; </w:t>
      </w:r>
    </w:p>
    <w:p w14:paraId="065F6576" w14:textId="1329E2E0" w:rsidR="00B9402D" w:rsidRPr="00B9402D" w:rsidRDefault="00B9402D" w:rsidP="00D470E0">
      <w:pPr>
        <w:numPr>
          <w:ilvl w:val="0"/>
          <w:numId w:val="4"/>
        </w:numPr>
        <w:tabs>
          <w:tab w:val="clear" w:pos="720"/>
        </w:tabs>
        <w:spacing w:after="0" w:line="276" w:lineRule="auto"/>
        <w:ind w:left="1418" w:hanging="425"/>
        <w:jc w:val="both"/>
        <w:textAlignment w:val="top"/>
        <w:rPr>
          <w:rFonts w:ascii="Times New Roman" w:eastAsia="Times New Roman" w:hAnsi="Times New Roman" w:cs="Times New Roman"/>
          <w:color w:val="000000"/>
          <w:sz w:val="24"/>
          <w:szCs w:val="24"/>
          <w:lang w:val="it-IT"/>
        </w:rPr>
      </w:pPr>
      <w:r w:rsidRPr="00B9402D">
        <w:rPr>
          <w:rFonts w:ascii="Times New Roman" w:eastAsia="Times New Roman" w:hAnsi="Times New Roman" w:cs="Times New Roman"/>
          <w:b/>
          <w:bCs/>
          <w:color w:val="000000"/>
          <w:sz w:val="24"/>
          <w:szCs w:val="24"/>
          <w:lang w:val="it-IT"/>
        </w:rPr>
        <w:t>finanziamenti diretti o indiretti</w:t>
      </w:r>
      <w:r w:rsidRPr="00B9402D">
        <w:rPr>
          <w:rFonts w:ascii="Times New Roman" w:eastAsia="Times New Roman" w:hAnsi="Times New Roman" w:cs="Times New Roman"/>
          <w:color w:val="000000"/>
          <w:sz w:val="24"/>
          <w:szCs w:val="24"/>
          <w:lang w:val="it-IT"/>
        </w:rPr>
        <w:t xml:space="preserve"> per la sponsorizzazione di progetti, quali ad esempio campagne di </w:t>
      </w:r>
      <w:proofErr w:type="spellStart"/>
      <w:r w:rsidRPr="00B9402D">
        <w:rPr>
          <w:rFonts w:ascii="Times New Roman" w:eastAsia="Times New Roman" w:hAnsi="Times New Roman" w:cs="Times New Roman"/>
          <w:color w:val="000000"/>
          <w:sz w:val="24"/>
          <w:szCs w:val="24"/>
          <w:lang w:val="it-IT"/>
        </w:rPr>
        <w:t>disease</w:t>
      </w:r>
      <w:proofErr w:type="spellEnd"/>
      <w:r w:rsidRPr="00B9402D">
        <w:rPr>
          <w:rFonts w:ascii="Times New Roman" w:eastAsia="Times New Roman" w:hAnsi="Times New Roman" w:cs="Times New Roman"/>
          <w:color w:val="000000"/>
          <w:sz w:val="24"/>
          <w:szCs w:val="24"/>
          <w:lang w:val="it-IT"/>
        </w:rPr>
        <w:t xml:space="preserve"> </w:t>
      </w:r>
      <w:proofErr w:type="spellStart"/>
      <w:r w:rsidRPr="00B9402D">
        <w:rPr>
          <w:rFonts w:ascii="Times New Roman" w:eastAsia="Times New Roman" w:hAnsi="Times New Roman" w:cs="Times New Roman"/>
          <w:color w:val="000000"/>
          <w:sz w:val="24"/>
          <w:szCs w:val="24"/>
          <w:lang w:val="it-IT"/>
        </w:rPr>
        <w:t>awareness</w:t>
      </w:r>
      <w:proofErr w:type="spellEnd"/>
      <w:r w:rsidRPr="00B9402D">
        <w:rPr>
          <w:rFonts w:ascii="Times New Roman" w:eastAsia="Times New Roman" w:hAnsi="Times New Roman" w:cs="Times New Roman"/>
          <w:color w:val="000000"/>
          <w:sz w:val="24"/>
          <w:szCs w:val="24"/>
          <w:lang w:val="it-IT"/>
        </w:rPr>
        <w:t xml:space="preserve">; </w:t>
      </w:r>
    </w:p>
    <w:p w14:paraId="72E6F3CA" w14:textId="11690DAB" w:rsidR="00B9402D" w:rsidRPr="00B9402D" w:rsidRDefault="00B9402D" w:rsidP="00D470E0">
      <w:pPr>
        <w:numPr>
          <w:ilvl w:val="0"/>
          <w:numId w:val="4"/>
        </w:numPr>
        <w:tabs>
          <w:tab w:val="clear" w:pos="720"/>
        </w:tabs>
        <w:spacing w:after="0" w:line="276" w:lineRule="auto"/>
        <w:ind w:left="1418" w:hanging="425"/>
        <w:jc w:val="both"/>
        <w:textAlignment w:val="top"/>
        <w:rPr>
          <w:rFonts w:ascii="Times New Roman" w:eastAsia="Times New Roman" w:hAnsi="Times New Roman" w:cs="Times New Roman"/>
          <w:color w:val="000000"/>
          <w:sz w:val="24"/>
          <w:szCs w:val="24"/>
          <w:lang w:val="it-IT"/>
        </w:rPr>
      </w:pPr>
      <w:r w:rsidRPr="00B9402D">
        <w:rPr>
          <w:rFonts w:ascii="Times New Roman" w:eastAsia="Times New Roman" w:hAnsi="Times New Roman" w:cs="Times New Roman"/>
          <w:color w:val="000000"/>
          <w:sz w:val="24"/>
          <w:szCs w:val="24"/>
          <w:lang w:val="it-IT"/>
        </w:rPr>
        <w:t xml:space="preserve">transazioni economiche relative a </w:t>
      </w:r>
      <w:r w:rsidRPr="00B9402D">
        <w:rPr>
          <w:rFonts w:ascii="Times New Roman" w:eastAsia="Times New Roman" w:hAnsi="Times New Roman" w:cs="Times New Roman"/>
          <w:b/>
          <w:bCs/>
          <w:color w:val="000000"/>
          <w:sz w:val="24"/>
          <w:szCs w:val="24"/>
          <w:lang w:val="it-IT"/>
        </w:rPr>
        <w:t>consulenze e prestazioni di servizi</w:t>
      </w:r>
      <w:r w:rsidRPr="00B9402D">
        <w:rPr>
          <w:rFonts w:ascii="Times New Roman" w:eastAsia="Times New Roman" w:hAnsi="Times New Roman" w:cs="Times New Roman"/>
          <w:color w:val="000000"/>
          <w:sz w:val="24"/>
          <w:szCs w:val="24"/>
          <w:lang w:val="it-IT"/>
        </w:rPr>
        <w:t xml:space="preserve"> risultanti da un contratto scritto tra Astellas e le Associazioni di Pazienti</w:t>
      </w:r>
      <w:r w:rsidR="00D470E0">
        <w:rPr>
          <w:rFonts w:ascii="Times New Roman" w:eastAsia="Times New Roman" w:hAnsi="Times New Roman" w:cs="Times New Roman"/>
          <w:color w:val="000000"/>
          <w:sz w:val="24"/>
          <w:szCs w:val="24"/>
          <w:lang w:val="it-IT"/>
        </w:rPr>
        <w:t>.</w:t>
      </w:r>
    </w:p>
    <w:p w14:paraId="55D88DE6" w14:textId="77777777" w:rsidR="007E2263" w:rsidRPr="00AE48D5" w:rsidRDefault="007E2263" w:rsidP="007E2263">
      <w:pPr>
        <w:spacing w:after="0" w:line="240" w:lineRule="auto"/>
        <w:ind w:left="982"/>
        <w:jc w:val="both"/>
        <w:textAlignment w:val="top"/>
        <w:rPr>
          <w:rFonts w:ascii="Times New Roman" w:eastAsia="Times New Roman" w:hAnsi="Times New Roman" w:cs="Times New Roman"/>
          <w:color w:val="000000"/>
          <w:sz w:val="24"/>
          <w:szCs w:val="24"/>
          <w:lang w:val="it-IT"/>
        </w:rPr>
      </w:pPr>
      <w:r w:rsidRPr="00AE48D5">
        <w:rPr>
          <w:rFonts w:ascii="Times New Roman" w:eastAsia="Times New Roman" w:hAnsi="Times New Roman" w:cs="Times New Roman"/>
          <w:b/>
          <w:bCs/>
          <w:color w:val="000000"/>
          <w:sz w:val="24"/>
          <w:szCs w:val="24"/>
          <w:lang w:val="it-IT"/>
        </w:rPr>
        <w:t> </w:t>
      </w:r>
    </w:p>
    <w:p w14:paraId="6FC88632" w14:textId="27066497" w:rsidR="007E2263" w:rsidRPr="00AE48D5" w:rsidRDefault="007E2263" w:rsidP="007E2263">
      <w:pPr>
        <w:spacing w:after="240" w:line="240" w:lineRule="auto"/>
        <w:ind w:left="709" w:hanging="709"/>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4.</w:t>
      </w:r>
      <w:r w:rsidR="00FA3CFF">
        <w:rPr>
          <w:rFonts w:ascii="Times New Roman" w:eastAsia="Times New Roman" w:hAnsi="Times New Roman" w:cs="Times New Roman"/>
          <w:color w:val="000000"/>
          <w:sz w:val="24"/>
          <w:szCs w:val="24"/>
          <w:lang w:val="it-IT"/>
        </w:rPr>
        <w:t>4</w:t>
      </w:r>
      <w:r w:rsidRPr="00AE48D5">
        <w:rPr>
          <w:rFonts w:ascii="Times New Roman" w:eastAsia="Times New Roman" w:hAnsi="Times New Roman" w:cs="Times New Roman"/>
          <w:color w:val="000000"/>
          <w:sz w:val="24"/>
          <w:szCs w:val="24"/>
          <w:lang w:val="it-IT"/>
        </w:rPr>
        <w:t>       </w:t>
      </w:r>
      <w:r w:rsidRPr="00AE48D5">
        <w:rPr>
          <w:rFonts w:ascii="Times New Roman" w:eastAsia="Times New Roman" w:hAnsi="Times New Roman" w:cs="Times New Roman"/>
          <w:color w:val="222222"/>
          <w:sz w:val="24"/>
          <w:szCs w:val="24"/>
          <w:lang w:val="it-IT"/>
        </w:rPr>
        <w:t>Astellas dichiara i Trasferimenti di Valore agli Operatori sanitari e alle Organizzazioni sanitarie che concernono la ricerca e lo sviluppo in forma aggregata. Questi includono le spese correlate alle sperimentazioni cliniche, agli studi che non sono sperimentazioni cliniche, agli studi non interventistici e alle ricerche promosse dallo sperimentatore.</w:t>
      </w:r>
    </w:p>
    <w:p w14:paraId="7AD11D9A" w14:textId="330DB3B1" w:rsidR="007E2263" w:rsidRPr="00AE48D5" w:rsidRDefault="007E2263" w:rsidP="007E2263">
      <w:pPr>
        <w:spacing w:after="240" w:line="240" w:lineRule="auto"/>
        <w:ind w:left="709" w:hanging="709"/>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4.</w:t>
      </w:r>
      <w:r w:rsidR="00FA3CFF">
        <w:rPr>
          <w:rFonts w:ascii="Times New Roman" w:eastAsia="Times New Roman" w:hAnsi="Times New Roman" w:cs="Times New Roman"/>
          <w:color w:val="000000"/>
          <w:sz w:val="24"/>
          <w:szCs w:val="24"/>
          <w:lang w:val="it-IT"/>
        </w:rPr>
        <w:t>5</w:t>
      </w:r>
      <w:r w:rsidRPr="00AE48D5">
        <w:rPr>
          <w:rFonts w:ascii="Times New Roman" w:eastAsia="Times New Roman" w:hAnsi="Times New Roman" w:cs="Times New Roman"/>
          <w:color w:val="000000"/>
          <w:sz w:val="24"/>
          <w:szCs w:val="24"/>
          <w:lang w:val="it-IT"/>
        </w:rPr>
        <w:t>       </w:t>
      </w:r>
      <w:r w:rsidRPr="00AE48D5">
        <w:rPr>
          <w:rFonts w:ascii="Times New Roman" w:eastAsia="Times New Roman" w:hAnsi="Times New Roman" w:cs="Times New Roman"/>
          <w:color w:val="222222"/>
          <w:sz w:val="24"/>
          <w:szCs w:val="24"/>
          <w:lang w:val="it-IT"/>
        </w:rPr>
        <w:t>Ai sensi dell’art. 5.2 del Codice deontologico di Farmindustria, i Trasferimenti di Valore collegati ai farmaci OTC sono esclusi dagli obblighi di Pubblicazione, come quelli inerenti al materiale promozionale ai sensi del par. 2.13 del Codice deontologico di Farmindustria, ai pasti, alle bevande e ai campioni gratuiti dei farmaci. </w:t>
      </w:r>
    </w:p>
    <w:p w14:paraId="43699D73" w14:textId="0D60E618" w:rsidR="007E2263" w:rsidRPr="00AE48D5" w:rsidRDefault="007E2263" w:rsidP="007E2263">
      <w:pPr>
        <w:spacing w:after="240" w:line="240" w:lineRule="auto"/>
        <w:ind w:left="709" w:hanging="709"/>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4.</w:t>
      </w:r>
      <w:r w:rsidR="00FA3CFF">
        <w:rPr>
          <w:rFonts w:ascii="Times New Roman" w:eastAsia="Times New Roman" w:hAnsi="Times New Roman" w:cs="Times New Roman"/>
          <w:color w:val="000000"/>
          <w:sz w:val="24"/>
          <w:szCs w:val="24"/>
          <w:lang w:val="it-IT"/>
        </w:rPr>
        <w:t>6</w:t>
      </w:r>
      <w:r w:rsidRPr="00AE48D5">
        <w:rPr>
          <w:rFonts w:ascii="Times New Roman" w:eastAsia="Times New Roman" w:hAnsi="Times New Roman" w:cs="Times New Roman"/>
          <w:color w:val="000000"/>
          <w:sz w:val="24"/>
          <w:szCs w:val="24"/>
          <w:lang w:val="it-IT"/>
        </w:rPr>
        <w:t>       </w:t>
      </w:r>
      <w:r w:rsidRPr="00AE48D5">
        <w:rPr>
          <w:rFonts w:ascii="Times New Roman" w:eastAsia="Times New Roman" w:hAnsi="Times New Roman" w:cs="Times New Roman"/>
          <w:color w:val="222222"/>
          <w:sz w:val="24"/>
          <w:szCs w:val="24"/>
          <w:lang w:val="it-IT"/>
        </w:rPr>
        <w:t xml:space="preserve">Quando Astellas </w:t>
      </w:r>
      <w:r w:rsidR="00D12EC0" w:rsidRPr="00AE48D5">
        <w:rPr>
          <w:rFonts w:ascii="Times New Roman" w:eastAsia="Times New Roman" w:hAnsi="Times New Roman" w:cs="Times New Roman"/>
          <w:color w:val="222222"/>
          <w:sz w:val="24"/>
          <w:szCs w:val="24"/>
          <w:lang w:val="it-IT"/>
        </w:rPr>
        <w:t xml:space="preserve">effettua </w:t>
      </w:r>
      <w:r w:rsidRPr="00AE48D5">
        <w:rPr>
          <w:rFonts w:ascii="Times New Roman" w:eastAsia="Times New Roman" w:hAnsi="Times New Roman" w:cs="Times New Roman"/>
          <w:color w:val="222222"/>
          <w:sz w:val="24"/>
          <w:szCs w:val="24"/>
          <w:lang w:val="it-IT"/>
        </w:rPr>
        <w:t>un Trasferimento di Valore ad un Operatore sanitari</w:t>
      </w:r>
      <w:r w:rsidR="00D12EC0" w:rsidRPr="00AE48D5">
        <w:rPr>
          <w:rFonts w:ascii="Times New Roman" w:eastAsia="Times New Roman" w:hAnsi="Times New Roman" w:cs="Times New Roman"/>
          <w:color w:val="222222"/>
          <w:sz w:val="24"/>
          <w:szCs w:val="24"/>
          <w:lang w:val="it-IT"/>
        </w:rPr>
        <w:t>o</w:t>
      </w:r>
      <w:r w:rsidRPr="00AE48D5">
        <w:rPr>
          <w:rFonts w:ascii="Times New Roman" w:eastAsia="Times New Roman" w:hAnsi="Times New Roman" w:cs="Times New Roman"/>
          <w:color w:val="222222"/>
          <w:sz w:val="24"/>
          <w:szCs w:val="24"/>
          <w:lang w:val="it-IT"/>
        </w:rPr>
        <w:t xml:space="preserve"> indirettamente, tramite un’Organizzazione sanitaria, essa dichiara tale trasferimento solo una volta. </w:t>
      </w:r>
    </w:p>
    <w:p w14:paraId="45CA0C09" w14:textId="012A5654" w:rsidR="007E2263" w:rsidRPr="00AE48D5" w:rsidRDefault="007E2263" w:rsidP="007E2263">
      <w:pPr>
        <w:spacing w:after="240" w:line="240" w:lineRule="auto"/>
        <w:ind w:left="709" w:hanging="709"/>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4.</w:t>
      </w:r>
      <w:r w:rsidR="00FA3CFF">
        <w:rPr>
          <w:rFonts w:ascii="Times New Roman" w:eastAsia="Times New Roman" w:hAnsi="Times New Roman" w:cs="Times New Roman"/>
          <w:color w:val="000000"/>
          <w:sz w:val="24"/>
          <w:szCs w:val="24"/>
          <w:lang w:val="it-IT"/>
        </w:rPr>
        <w:t>7</w:t>
      </w:r>
      <w:r w:rsidRPr="00AE48D5">
        <w:rPr>
          <w:rFonts w:ascii="Times New Roman" w:eastAsia="Times New Roman" w:hAnsi="Times New Roman" w:cs="Times New Roman"/>
          <w:color w:val="000000"/>
          <w:sz w:val="24"/>
          <w:szCs w:val="24"/>
          <w:lang w:val="it-IT"/>
        </w:rPr>
        <w:t>       </w:t>
      </w:r>
      <w:r w:rsidRPr="00AE48D5">
        <w:rPr>
          <w:rFonts w:ascii="Times New Roman" w:eastAsia="Times New Roman" w:hAnsi="Times New Roman" w:cs="Times New Roman"/>
          <w:color w:val="222222"/>
          <w:sz w:val="24"/>
          <w:szCs w:val="24"/>
          <w:lang w:val="it-IT"/>
        </w:rPr>
        <w:t>Quando i servizi per Astellas sono resi da un Operatore sanitari</w:t>
      </w:r>
      <w:r w:rsidR="00D12EC0" w:rsidRPr="00AE48D5">
        <w:rPr>
          <w:rFonts w:ascii="Times New Roman" w:eastAsia="Times New Roman" w:hAnsi="Times New Roman" w:cs="Times New Roman"/>
          <w:color w:val="222222"/>
          <w:sz w:val="24"/>
          <w:szCs w:val="24"/>
          <w:lang w:val="it-IT"/>
        </w:rPr>
        <w:t>o</w:t>
      </w:r>
      <w:r w:rsidRPr="00AE48D5">
        <w:rPr>
          <w:rFonts w:ascii="Times New Roman" w:eastAsia="Times New Roman" w:hAnsi="Times New Roman" w:cs="Times New Roman"/>
          <w:color w:val="222222"/>
          <w:sz w:val="24"/>
          <w:szCs w:val="24"/>
          <w:lang w:val="it-IT"/>
        </w:rPr>
        <w:t xml:space="preserve"> per conto di un’Organizzazione sanitaria (per esempio, Astellas conclude un contratto per la prestazione di servizi con un’Organizzazione sanitaria e i servizi sono resi da un dipendente dell’Organizzazione sanitaria), il corrispettivo e le spese correlate versate da Astellas all’Organizzazione sanitaria sono dichiarate come Trasferimenti di Valore eseguiti all’Organizzazione sanitaria. Ciò vale a meno che Astellas possa confermare che l’Operatore sanitario ha ricevuto un beneficio dal Trasferimento di Valore, direttamente da Astellas o mediante l’Organizzazione sanitaria (es. corrispettivo pagato all’Operatore sanitario in relazione ai servizi resi e/o rimborso di spese sostenute), nel qual caso Astellas dichiara tali Trasferimenti di Valore come trasferimenti all’Operatore sanitario. Ove Astellas possa identificare l’Operatore sanitario e sappia che l’Organizzazione sanitaria darà tutto il Trasferimento di Valore all’Operatore sanitario per conto di Astellas, il Trasferimento di Valore è dichiarato come Trasferimento di Valore all’Operatore sanitario.</w:t>
      </w:r>
    </w:p>
    <w:p w14:paraId="733C8524" w14:textId="0C6970A1" w:rsidR="007E2263" w:rsidRPr="00AE48D5" w:rsidRDefault="007E2263" w:rsidP="007E2263">
      <w:pPr>
        <w:spacing w:after="240" w:line="240" w:lineRule="auto"/>
        <w:ind w:left="709" w:hanging="709"/>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4.</w:t>
      </w:r>
      <w:r w:rsidR="00FA3CFF">
        <w:rPr>
          <w:rFonts w:ascii="Times New Roman" w:eastAsia="Times New Roman" w:hAnsi="Times New Roman" w:cs="Times New Roman"/>
          <w:color w:val="000000"/>
          <w:sz w:val="24"/>
          <w:szCs w:val="24"/>
          <w:lang w:val="it-IT"/>
        </w:rPr>
        <w:t>8</w:t>
      </w:r>
      <w:r w:rsidRPr="00AE48D5">
        <w:rPr>
          <w:rFonts w:ascii="Times New Roman" w:eastAsia="Times New Roman" w:hAnsi="Times New Roman" w:cs="Times New Roman"/>
          <w:color w:val="000000"/>
          <w:sz w:val="24"/>
          <w:szCs w:val="24"/>
          <w:lang w:val="it-IT"/>
        </w:rPr>
        <w:t>       </w:t>
      </w:r>
      <w:r w:rsidRPr="00AE48D5">
        <w:rPr>
          <w:rFonts w:ascii="Times New Roman" w:eastAsia="Times New Roman" w:hAnsi="Times New Roman" w:cs="Times New Roman"/>
          <w:color w:val="222222"/>
          <w:sz w:val="24"/>
          <w:szCs w:val="24"/>
          <w:lang w:val="it-IT"/>
        </w:rPr>
        <w:t>Quando i servizi sono resi da una società costituita da un Operatore sanitari</w:t>
      </w:r>
      <w:r w:rsidR="00D12EC0" w:rsidRPr="00AE48D5">
        <w:rPr>
          <w:rFonts w:ascii="Times New Roman" w:eastAsia="Times New Roman" w:hAnsi="Times New Roman" w:cs="Times New Roman"/>
          <w:color w:val="222222"/>
          <w:sz w:val="24"/>
          <w:szCs w:val="24"/>
          <w:lang w:val="it-IT"/>
        </w:rPr>
        <w:t>o</w:t>
      </w:r>
      <w:r w:rsidRPr="00AE48D5">
        <w:rPr>
          <w:rFonts w:ascii="Times New Roman" w:eastAsia="Times New Roman" w:hAnsi="Times New Roman" w:cs="Times New Roman"/>
          <w:color w:val="222222"/>
          <w:sz w:val="24"/>
          <w:szCs w:val="24"/>
          <w:lang w:val="it-IT"/>
        </w:rPr>
        <w:t xml:space="preserve"> e l’Operatore sanitari</w:t>
      </w:r>
      <w:r w:rsidR="00D12EC0" w:rsidRPr="00AE48D5">
        <w:rPr>
          <w:rFonts w:ascii="Times New Roman" w:eastAsia="Times New Roman" w:hAnsi="Times New Roman" w:cs="Times New Roman"/>
          <w:color w:val="222222"/>
          <w:sz w:val="24"/>
          <w:szCs w:val="24"/>
          <w:lang w:val="it-IT"/>
        </w:rPr>
        <w:t>o</w:t>
      </w:r>
      <w:r w:rsidRPr="00AE48D5">
        <w:rPr>
          <w:rFonts w:ascii="Times New Roman" w:eastAsia="Times New Roman" w:hAnsi="Times New Roman" w:cs="Times New Roman"/>
          <w:color w:val="222222"/>
          <w:sz w:val="24"/>
          <w:szCs w:val="24"/>
          <w:lang w:val="it-IT"/>
        </w:rPr>
        <w:t xml:space="preserve"> non è l’amministratore unico della Società, Astellas considererà il destinatario come un’Organizzazione sanitaria e dichiarerà il Trasferimento di Valore </w:t>
      </w:r>
      <w:r w:rsidRPr="00AE48D5">
        <w:rPr>
          <w:rFonts w:ascii="Times New Roman" w:eastAsia="Times New Roman" w:hAnsi="Times New Roman" w:cs="Times New Roman"/>
          <w:color w:val="222222"/>
          <w:sz w:val="24"/>
          <w:szCs w:val="24"/>
          <w:lang w:val="it-IT"/>
        </w:rPr>
        <w:lastRenderedPageBreak/>
        <w:t>all’Organizzazione sanitaria, a condizione che il nome della società sia molto simile al nome dell’Operatore sanitario che è noto ad Astellas.</w:t>
      </w:r>
    </w:p>
    <w:p w14:paraId="73CCA80B" w14:textId="13467205" w:rsidR="007E2263" w:rsidRPr="00AE48D5" w:rsidRDefault="007E2263" w:rsidP="007E2263">
      <w:pPr>
        <w:spacing w:after="240" w:line="240" w:lineRule="auto"/>
        <w:ind w:left="709" w:hanging="709"/>
        <w:jc w:val="both"/>
        <w:textAlignment w:val="top"/>
        <w:outlineLvl w:val="0"/>
        <w:rPr>
          <w:rFonts w:ascii="Times New Roman" w:eastAsia="Times New Roman" w:hAnsi="Times New Roman" w:cs="Times New Roman"/>
          <w:color w:val="222222"/>
          <w:kern w:val="36"/>
          <w:sz w:val="24"/>
          <w:szCs w:val="24"/>
          <w:lang w:val="it-IT"/>
        </w:rPr>
      </w:pPr>
      <w:r w:rsidRPr="00AE48D5">
        <w:rPr>
          <w:rFonts w:ascii="Times New Roman" w:eastAsia="Times New Roman" w:hAnsi="Times New Roman" w:cs="Times New Roman"/>
          <w:b/>
          <w:bCs/>
          <w:color w:val="000000"/>
          <w:kern w:val="36"/>
          <w:sz w:val="24"/>
          <w:szCs w:val="24"/>
          <w:lang w:val="it-IT"/>
        </w:rPr>
        <w:t>5.</w:t>
      </w:r>
      <w:r w:rsidRPr="00AE48D5">
        <w:rPr>
          <w:rFonts w:ascii="Times New Roman" w:eastAsia="Times New Roman" w:hAnsi="Times New Roman" w:cs="Times New Roman"/>
          <w:color w:val="000000"/>
          <w:kern w:val="36"/>
          <w:sz w:val="24"/>
          <w:szCs w:val="24"/>
          <w:lang w:val="it-IT"/>
        </w:rPr>
        <w:t>         </w:t>
      </w:r>
      <w:r w:rsidR="005B6935">
        <w:rPr>
          <w:rFonts w:ascii="Times New Roman" w:eastAsia="Times New Roman" w:hAnsi="Times New Roman" w:cs="Times New Roman"/>
          <w:b/>
          <w:bCs/>
          <w:color w:val="222222"/>
          <w:kern w:val="36"/>
          <w:sz w:val="24"/>
          <w:szCs w:val="24"/>
          <w:lang w:val="it-IT"/>
        </w:rPr>
        <w:t>PAESE DI PUBBLICAZIONE</w:t>
      </w:r>
    </w:p>
    <w:p w14:paraId="0D57927A" w14:textId="2A895D35" w:rsidR="007E2263" w:rsidRPr="00AE48D5" w:rsidRDefault="007E2263" w:rsidP="007E2263">
      <w:pPr>
        <w:spacing w:after="240" w:line="240" w:lineRule="auto"/>
        <w:ind w:left="709" w:hanging="709"/>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5.1      </w:t>
      </w:r>
      <w:r w:rsidR="005B6935">
        <w:rPr>
          <w:rFonts w:ascii="Times New Roman" w:eastAsia="Times New Roman" w:hAnsi="Times New Roman" w:cs="Times New Roman"/>
          <w:color w:val="000000"/>
          <w:sz w:val="24"/>
          <w:szCs w:val="24"/>
          <w:lang w:val="it-IT"/>
        </w:rPr>
        <w:t xml:space="preserve"> </w:t>
      </w:r>
      <w:r w:rsidRPr="00AE48D5">
        <w:rPr>
          <w:rFonts w:ascii="Times New Roman" w:eastAsia="Times New Roman" w:hAnsi="Times New Roman" w:cs="Times New Roman"/>
          <w:color w:val="222222"/>
          <w:sz w:val="24"/>
          <w:szCs w:val="24"/>
          <w:lang w:val="it-IT"/>
        </w:rPr>
        <w:t>Astellas si impegna a pubblicare i Trasferimenti di Valore nel Paese in cui il beneficiario è domiciliato (luogo principale di esercizio dell'attività), nell'osservanza delle regole contenute nel Codice deontologico del Paese in questione e ai sensi della normativa sulla privacy vigente in tale Paese. In assenza di affiliate nel Paese in cui il beneficiario è domiciliato, Astellas pubblicherà i Trasferimenti di Valore relativi a tale beneficiario in conformità alle disposizioni contenute nel Codice deontologico del paese in cui il beneficiario è domiciliato. Laddove l'Operatore sanitario operi in più di un Paese, Astellas ne selezionerà uno come luogo principale di esercizio dell'attività e pubblicherà i Trasferimenti di valore in tale Paese.</w:t>
      </w:r>
    </w:p>
    <w:p w14:paraId="739B1C1F" w14:textId="2E860E26" w:rsidR="007E2263" w:rsidRPr="00AE48D5" w:rsidRDefault="007E2263" w:rsidP="007E2263">
      <w:pPr>
        <w:spacing w:after="240" w:line="240" w:lineRule="auto"/>
        <w:ind w:left="709" w:hanging="709"/>
        <w:jc w:val="both"/>
        <w:textAlignment w:val="top"/>
        <w:outlineLvl w:val="0"/>
        <w:rPr>
          <w:rFonts w:ascii="Times New Roman" w:eastAsia="Times New Roman" w:hAnsi="Times New Roman" w:cs="Times New Roman"/>
          <w:color w:val="222222"/>
          <w:kern w:val="36"/>
          <w:sz w:val="24"/>
          <w:szCs w:val="24"/>
          <w:lang w:val="it-IT"/>
        </w:rPr>
      </w:pPr>
      <w:r w:rsidRPr="00AE48D5">
        <w:rPr>
          <w:rFonts w:ascii="Times New Roman" w:eastAsia="Times New Roman" w:hAnsi="Times New Roman" w:cs="Times New Roman"/>
          <w:b/>
          <w:bCs/>
          <w:color w:val="000000"/>
          <w:kern w:val="36"/>
          <w:sz w:val="24"/>
          <w:szCs w:val="24"/>
          <w:lang w:val="it-IT"/>
        </w:rPr>
        <w:t>6.</w:t>
      </w:r>
      <w:r w:rsidRPr="00AE48D5">
        <w:rPr>
          <w:rFonts w:ascii="Times New Roman" w:eastAsia="Times New Roman" w:hAnsi="Times New Roman" w:cs="Times New Roman"/>
          <w:color w:val="000000"/>
          <w:kern w:val="36"/>
          <w:sz w:val="24"/>
          <w:szCs w:val="24"/>
          <w:lang w:val="it-IT"/>
        </w:rPr>
        <w:t>         </w:t>
      </w:r>
      <w:r w:rsidR="005B6935">
        <w:rPr>
          <w:rFonts w:ascii="Times New Roman" w:eastAsia="Times New Roman" w:hAnsi="Times New Roman" w:cs="Times New Roman"/>
          <w:b/>
          <w:bCs/>
          <w:color w:val="222222"/>
          <w:kern w:val="36"/>
          <w:sz w:val="24"/>
          <w:szCs w:val="24"/>
          <w:lang w:val="it-IT"/>
        </w:rPr>
        <w:t>VALUTA</w:t>
      </w:r>
    </w:p>
    <w:p w14:paraId="2092CE3F" w14:textId="44AD8B8E" w:rsidR="007E2263" w:rsidRPr="00AE48D5" w:rsidRDefault="007E2263" w:rsidP="007E2263">
      <w:pPr>
        <w:spacing w:after="240" w:line="240" w:lineRule="auto"/>
        <w:ind w:left="709" w:hanging="709"/>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6.1       </w:t>
      </w:r>
      <w:r w:rsidRPr="00AE48D5">
        <w:rPr>
          <w:rFonts w:ascii="Times New Roman" w:eastAsia="Times New Roman" w:hAnsi="Times New Roman" w:cs="Times New Roman"/>
          <w:color w:val="222222"/>
          <w:sz w:val="24"/>
          <w:szCs w:val="24"/>
          <w:lang w:val="it-IT"/>
        </w:rPr>
        <w:t>Astellas si impegna a pubblicare i Trasferimenti di Valore agli Operatori sanitari e alle Organizzazioni sanitarie operanti in Italia in EUR. In caso di Trasferimenti di valore in valuta diversa dall'EUR, l'importo sarà convertito in EUR al tasso di cambio annuo. Gli importi pubblicati in EUR potranno pertanto discostarsi leggermente dall'esatto importo versato in valuta locale.</w:t>
      </w:r>
    </w:p>
    <w:p w14:paraId="3AFEF977" w14:textId="799F5490" w:rsidR="007E2263" w:rsidRPr="00AE48D5" w:rsidRDefault="007E2263" w:rsidP="005B6935">
      <w:pPr>
        <w:spacing w:after="240" w:line="240" w:lineRule="auto"/>
        <w:ind w:left="709" w:hanging="720"/>
        <w:jc w:val="both"/>
        <w:textAlignment w:val="top"/>
        <w:outlineLvl w:val="0"/>
        <w:rPr>
          <w:rFonts w:ascii="Times New Roman" w:eastAsia="Times New Roman" w:hAnsi="Times New Roman" w:cs="Times New Roman"/>
          <w:color w:val="222222"/>
          <w:kern w:val="36"/>
          <w:sz w:val="24"/>
          <w:szCs w:val="24"/>
          <w:lang w:val="it-IT"/>
        </w:rPr>
      </w:pPr>
      <w:r w:rsidRPr="00AE48D5">
        <w:rPr>
          <w:rFonts w:ascii="Times New Roman" w:eastAsia="Times New Roman" w:hAnsi="Times New Roman" w:cs="Times New Roman"/>
          <w:b/>
          <w:bCs/>
          <w:color w:val="000000"/>
          <w:kern w:val="36"/>
          <w:sz w:val="24"/>
          <w:szCs w:val="24"/>
          <w:lang w:val="it-IT"/>
        </w:rPr>
        <w:t>7.</w:t>
      </w:r>
      <w:r w:rsidRPr="00AE48D5">
        <w:rPr>
          <w:rFonts w:ascii="Times New Roman" w:eastAsia="Times New Roman" w:hAnsi="Times New Roman" w:cs="Times New Roman"/>
          <w:color w:val="000000"/>
          <w:kern w:val="36"/>
          <w:sz w:val="24"/>
          <w:szCs w:val="24"/>
          <w:lang w:val="it-IT"/>
        </w:rPr>
        <w:t>         </w:t>
      </w:r>
      <w:r w:rsidR="005B6935">
        <w:rPr>
          <w:rFonts w:ascii="Times New Roman" w:eastAsia="Times New Roman" w:hAnsi="Times New Roman" w:cs="Times New Roman"/>
          <w:b/>
          <w:bCs/>
          <w:color w:val="222222"/>
          <w:kern w:val="36"/>
          <w:sz w:val="24"/>
          <w:szCs w:val="24"/>
          <w:lang w:val="it-IT"/>
        </w:rPr>
        <w:t>TEMPISTICHE</w:t>
      </w:r>
    </w:p>
    <w:p w14:paraId="62B51502" w14:textId="529A9E77" w:rsidR="007E2263" w:rsidRPr="00AE48D5" w:rsidRDefault="007E2263" w:rsidP="005B6935">
      <w:pPr>
        <w:spacing w:after="240" w:line="240" w:lineRule="auto"/>
        <w:ind w:left="709"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7.1       </w:t>
      </w:r>
      <w:r w:rsidRPr="00AE48D5">
        <w:rPr>
          <w:rFonts w:ascii="Times New Roman" w:eastAsia="Times New Roman" w:hAnsi="Times New Roman" w:cs="Times New Roman"/>
          <w:color w:val="222222"/>
          <w:sz w:val="24"/>
          <w:szCs w:val="24"/>
          <w:lang w:val="it-IT"/>
        </w:rPr>
        <w:t xml:space="preserve">Astellas si impegna a divulgare tutti i Trasferimenti di Valore avvenuti tra il </w:t>
      </w:r>
      <w:proofErr w:type="gramStart"/>
      <w:r w:rsidRPr="00AE48D5">
        <w:rPr>
          <w:rFonts w:ascii="Times New Roman" w:eastAsia="Times New Roman" w:hAnsi="Times New Roman" w:cs="Times New Roman"/>
          <w:color w:val="222222"/>
          <w:sz w:val="24"/>
          <w:szCs w:val="24"/>
          <w:lang w:val="it-IT"/>
        </w:rPr>
        <w:t>1 gennaio</w:t>
      </w:r>
      <w:proofErr w:type="gramEnd"/>
      <w:r w:rsidRPr="00AE48D5">
        <w:rPr>
          <w:rFonts w:ascii="Times New Roman" w:eastAsia="Times New Roman" w:hAnsi="Times New Roman" w:cs="Times New Roman"/>
          <w:color w:val="222222"/>
          <w:sz w:val="24"/>
          <w:szCs w:val="24"/>
          <w:lang w:val="it-IT"/>
        </w:rPr>
        <w:t xml:space="preserve"> e il 31 dicembre di ogni anno entro il 30 giugno dell'anno successivo. Un Trasferimento di Valore è considerato effettuato una volta che è stato completato (ad es. alla data del pagamento o del trasferimento di valore). Ad esempio, se un contratto è firmato il 1°</w:t>
      </w:r>
      <w:r w:rsidR="00A653B9" w:rsidRPr="00AE48D5">
        <w:rPr>
          <w:rFonts w:ascii="Times New Roman" w:eastAsia="Times New Roman" w:hAnsi="Times New Roman" w:cs="Times New Roman"/>
          <w:color w:val="222222"/>
          <w:sz w:val="24"/>
          <w:szCs w:val="24"/>
          <w:lang w:val="it-IT"/>
        </w:rPr>
        <w:t xml:space="preserve"> </w:t>
      </w:r>
      <w:r w:rsidRPr="00AE48D5">
        <w:rPr>
          <w:rFonts w:ascii="Times New Roman" w:eastAsia="Times New Roman" w:hAnsi="Times New Roman" w:cs="Times New Roman"/>
          <w:color w:val="222222"/>
          <w:sz w:val="24"/>
          <w:szCs w:val="24"/>
          <w:lang w:val="it-IT"/>
        </w:rPr>
        <w:t>ottobre 20</w:t>
      </w:r>
      <w:r w:rsidR="00A653B9" w:rsidRPr="00AE48D5">
        <w:rPr>
          <w:rFonts w:ascii="Times New Roman" w:eastAsia="Times New Roman" w:hAnsi="Times New Roman" w:cs="Times New Roman"/>
          <w:color w:val="222222"/>
          <w:sz w:val="24"/>
          <w:szCs w:val="24"/>
          <w:lang w:val="it-IT"/>
        </w:rPr>
        <w:t>2</w:t>
      </w:r>
      <w:r w:rsidR="00660877">
        <w:rPr>
          <w:rFonts w:ascii="Times New Roman" w:eastAsia="Times New Roman" w:hAnsi="Times New Roman" w:cs="Times New Roman"/>
          <w:color w:val="222222"/>
          <w:sz w:val="24"/>
          <w:szCs w:val="24"/>
          <w:lang w:val="it-IT"/>
        </w:rPr>
        <w:t>3</w:t>
      </w:r>
      <w:r w:rsidRPr="00AE48D5">
        <w:rPr>
          <w:rFonts w:ascii="Times New Roman" w:eastAsia="Times New Roman" w:hAnsi="Times New Roman" w:cs="Times New Roman"/>
          <w:color w:val="222222"/>
          <w:sz w:val="24"/>
          <w:szCs w:val="24"/>
          <w:lang w:val="it-IT"/>
        </w:rPr>
        <w:t xml:space="preserve">, ma il pagamento ha luogo il </w:t>
      </w:r>
      <w:r w:rsidR="00A653B9" w:rsidRPr="00AE48D5">
        <w:rPr>
          <w:rFonts w:ascii="Times New Roman" w:eastAsia="Times New Roman" w:hAnsi="Times New Roman" w:cs="Times New Roman"/>
          <w:color w:val="222222"/>
          <w:sz w:val="24"/>
          <w:szCs w:val="24"/>
          <w:lang w:val="it-IT"/>
        </w:rPr>
        <w:t>3</w:t>
      </w:r>
      <w:r w:rsidRPr="00AE48D5">
        <w:rPr>
          <w:rFonts w:ascii="Times New Roman" w:eastAsia="Times New Roman" w:hAnsi="Times New Roman" w:cs="Times New Roman"/>
          <w:color w:val="222222"/>
          <w:sz w:val="24"/>
          <w:szCs w:val="24"/>
          <w:lang w:val="it-IT"/>
        </w:rPr>
        <w:t>1 gennaio 20</w:t>
      </w:r>
      <w:r w:rsidR="00A653B9" w:rsidRPr="00AE48D5">
        <w:rPr>
          <w:rFonts w:ascii="Times New Roman" w:eastAsia="Times New Roman" w:hAnsi="Times New Roman" w:cs="Times New Roman"/>
          <w:color w:val="222222"/>
          <w:sz w:val="24"/>
          <w:szCs w:val="24"/>
          <w:lang w:val="it-IT"/>
        </w:rPr>
        <w:t>2</w:t>
      </w:r>
      <w:r w:rsidR="00660877">
        <w:rPr>
          <w:rFonts w:ascii="Times New Roman" w:eastAsia="Times New Roman" w:hAnsi="Times New Roman" w:cs="Times New Roman"/>
          <w:color w:val="222222"/>
          <w:sz w:val="24"/>
          <w:szCs w:val="24"/>
          <w:lang w:val="it-IT"/>
        </w:rPr>
        <w:t>4</w:t>
      </w:r>
      <w:r w:rsidRPr="00AE48D5">
        <w:rPr>
          <w:rFonts w:ascii="Times New Roman" w:eastAsia="Times New Roman" w:hAnsi="Times New Roman" w:cs="Times New Roman"/>
          <w:color w:val="222222"/>
          <w:sz w:val="24"/>
          <w:szCs w:val="24"/>
          <w:lang w:val="it-IT"/>
        </w:rPr>
        <w:t>, la Pubblicazione sarà effettuata entro fine giugno 20</w:t>
      </w:r>
      <w:r w:rsidR="00A653B9" w:rsidRPr="00AE48D5">
        <w:rPr>
          <w:rFonts w:ascii="Times New Roman" w:eastAsia="Times New Roman" w:hAnsi="Times New Roman" w:cs="Times New Roman"/>
          <w:color w:val="222222"/>
          <w:sz w:val="24"/>
          <w:szCs w:val="24"/>
          <w:lang w:val="it-IT"/>
        </w:rPr>
        <w:t>2</w:t>
      </w:r>
      <w:r w:rsidR="00660877">
        <w:rPr>
          <w:rFonts w:ascii="Times New Roman" w:eastAsia="Times New Roman" w:hAnsi="Times New Roman" w:cs="Times New Roman"/>
          <w:color w:val="222222"/>
          <w:sz w:val="24"/>
          <w:szCs w:val="24"/>
          <w:lang w:val="it-IT"/>
        </w:rPr>
        <w:t>4</w:t>
      </w:r>
      <w:r w:rsidRPr="00AE48D5">
        <w:rPr>
          <w:rFonts w:ascii="Times New Roman" w:eastAsia="Times New Roman" w:hAnsi="Times New Roman" w:cs="Times New Roman"/>
          <w:color w:val="222222"/>
          <w:sz w:val="24"/>
          <w:szCs w:val="24"/>
          <w:lang w:val="it-IT"/>
        </w:rPr>
        <w:t>.</w:t>
      </w:r>
    </w:p>
    <w:p w14:paraId="57F3D234" w14:textId="7969CDEA" w:rsidR="007E2263" w:rsidRPr="00AE48D5" w:rsidRDefault="007E2263" w:rsidP="005B6935">
      <w:pPr>
        <w:spacing w:after="240" w:line="240" w:lineRule="auto"/>
        <w:ind w:left="709" w:hanging="720"/>
        <w:jc w:val="both"/>
        <w:textAlignment w:val="top"/>
        <w:outlineLvl w:val="0"/>
        <w:rPr>
          <w:rFonts w:ascii="Times New Roman" w:eastAsia="Times New Roman" w:hAnsi="Times New Roman" w:cs="Times New Roman"/>
          <w:color w:val="222222"/>
          <w:kern w:val="36"/>
          <w:sz w:val="24"/>
          <w:szCs w:val="24"/>
          <w:lang w:val="it-IT"/>
        </w:rPr>
      </w:pPr>
      <w:r w:rsidRPr="00AE48D5">
        <w:rPr>
          <w:rFonts w:ascii="Times New Roman" w:eastAsia="Times New Roman" w:hAnsi="Times New Roman" w:cs="Times New Roman"/>
          <w:b/>
          <w:bCs/>
          <w:color w:val="000000"/>
          <w:kern w:val="36"/>
          <w:sz w:val="24"/>
          <w:szCs w:val="24"/>
          <w:lang w:val="it-IT"/>
        </w:rPr>
        <w:t>8.</w:t>
      </w:r>
      <w:r w:rsidRPr="00AE48D5">
        <w:rPr>
          <w:rFonts w:ascii="Times New Roman" w:eastAsia="Times New Roman" w:hAnsi="Times New Roman" w:cs="Times New Roman"/>
          <w:color w:val="000000"/>
          <w:kern w:val="36"/>
          <w:sz w:val="24"/>
          <w:szCs w:val="24"/>
          <w:lang w:val="it-IT"/>
        </w:rPr>
        <w:t>         </w:t>
      </w:r>
      <w:r w:rsidR="005B6935">
        <w:rPr>
          <w:rFonts w:ascii="Times New Roman" w:eastAsia="Times New Roman" w:hAnsi="Times New Roman" w:cs="Times New Roman"/>
          <w:b/>
          <w:bCs/>
          <w:color w:val="222222"/>
          <w:kern w:val="36"/>
          <w:sz w:val="24"/>
          <w:szCs w:val="24"/>
          <w:lang w:val="it-IT"/>
        </w:rPr>
        <w:t>CONTRATTI PLURIENNALI</w:t>
      </w:r>
    </w:p>
    <w:p w14:paraId="3FD404FC" w14:textId="73CA4F69" w:rsidR="007E2263" w:rsidRPr="00AE48D5" w:rsidRDefault="007E2263" w:rsidP="005B6935">
      <w:pPr>
        <w:spacing w:after="240" w:line="240" w:lineRule="auto"/>
        <w:ind w:left="709"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8.1       </w:t>
      </w:r>
      <w:r w:rsidRPr="00AE48D5">
        <w:rPr>
          <w:rFonts w:ascii="Times New Roman" w:eastAsia="Times New Roman" w:hAnsi="Times New Roman" w:cs="Times New Roman"/>
          <w:color w:val="222222"/>
          <w:sz w:val="24"/>
          <w:szCs w:val="24"/>
          <w:lang w:val="it-IT"/>
        </w:rPr>
        <w:t>Laddove un contratto che preveda Trasferimenti di Valore (nell'accezione di cui all’articolo 4) abbia durata superiore a un anno, Astellas provvederà a pubblicare i Trasferimenti di Valore relativi al contratto nell'anno in cui hanno luogo (che potrebbe differire dall'anno di stipula del contratto).</w:t>
      </w:r>
    </w:p>
    <w:p w14:paraId="43D00732" w14:textId="26F2E04B" w:rsidR="007E2263" w:rsidRPr="00AE48D5" w:rsidRDefault="007E2263" w:rsidP="005B6935">
      <w:pPr>
        <w:spacing w:after="240" w:line="240" w:lineRule="auto"/>
        <w:ind w:left="709" w:hanging="720"/>
        <w:jc w:val="both"/>
        <w:textAlignment w:val="top"/>
        <w:outlineLvl w:val="0"/>
        <w:rPr>
          <w:rFonts w:ascii="Times New Roman" w:eastAsia="Times New Roman" w:hAnsi="Times New Roman" w:cs="Times New Roman"/>
          <w:color w:val="222222"/>
          <w:kern w:val="36"/>
          <w:sz w:val="24"/>
          <w:szCs w:val="24"/>
          <w:lang w:val="it-IT"/>
        </w:rPr>
      </w:pPr>
      <w:r w:rsidRPr="00AE48D5">
        <w:rPr>
          <w:rFonts w:ascii="Times New Roman" w:eastAsia="Times New Roman" w:hAnsi="Times New Roman" w:cs="Times New Roman"/>
          <w:b/>
          <w:bCs/>
          <w:color w:val="000000"/>
          <w:kern w:val="36"/>
          <w:sz w:val="24"/>
          <w:szCs w:val="24"/>
          <w:lang w:val="it-IT"/>
        </w:rPr>
        <w:t>9.</w:t>
      </w:r>
      <w:r w:rsidRPr="00AE48D5">
        <w:rPr>
          <w:rFonts w:ascii="Times New Roman" w:eastAsia="Times New Roman" w:hAnsi="Times New Roman" w:cs="Times New Roman"/>
          <w:color w:val="000000"/>
          <w:kern w:val="36"/>
          <w:sz w:val="24"/>
          <w:szCs w:val="24"/>
          <w:lang w:val="it-IT"/>
        </w:rPr>
        <w:t>         </w:t>
      </w:r>
      <w:r w:rsidR="005B6935">
        <w:rPr>
          <w:rFonts w:ascii="Times New Roman" w:eastAsia="Times New Roman" w:hAnsi="Times New Roman" w:cs="Times New Roman"/>
          <w:b/>
          <w:bCs/>
          <w:color w:val="222222"/>
          <w:kern w:val="36"/>
          <w:sz w:val="24"/>
          <w:szCs w:val="24"/>
          <w:lang w:val="it-IT"/>
        </w:rPr>
        <w:t>IMPORTO</w:t>
      </w:r>
    </w:p>
    <w:p w14:paraId="1EB0E63A" w14:textId="38AC4D2C" w:rsidR="007E2263" w:rsidRPr="00AE48D5" w:rsidRDefault="007E2263" w:rsidP="005B6935">
      <w:pPr>
        <w:spacing w:after="240" w:line="240" w:lineRule="auto"/>
        <w:ind w:left="709"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9.1       </w:t>
      </w:r>
      <w:r w:rsidRPr="00AE48D5">
        <w:rPr>
          <w:rFonts w:ascii="Times New Roman" w:eastAsia="Times New Roman" w:hAnsi="Times New Roman" w:cs="Times New Roman"/>
          <w:color w:val="222222"/>
          <w:sz w:val="24"/>
          <w:szCs w:val="24"/>
          <w:lang w:val="it-IT"/>
        </w:rPr>
        <w:t>Ove possibile, Astellas si impegna a pubblicare l'importo complessivo dei Trasferimenti di Valore al netto dell'IVA e al netto di qualsivoglia altra imposta applicabile. In determinati casi di Trasferimento di Valore indiretto, l'IVA potrebbe non essere separabile; in tali circostanze, l'IVA sarà inclusa nell’importo dichiarato.</w:t>
      </w:r>
    </w:p>
    <w:p w14:paraId="037D097A" w14:textId="7C8511E8" w:rsidR="007E2263" w:rsidRPr="00AE48D5" w:rsidRDefault="007E2263" w:rsidP="005B6935">
      <w:pPr>
        <w:spacing w:after="240" w:line="240" w:lineRule="auto"/>
        <w:ind w:left="709"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lastRenderedPageBreak/>
        <w:t>9.2       </w:t>
      </w:r>
      <w:r w:rsidRPr="00AE48D5">
        <w:rPr>
          <w:rFonts w:ascii="Times New Roman" w:eastAsia="Times New Roman" w:hAnsi="Times New Roman" w:cs="Times New Roman"/>
          <w:color w:val="222222"/>
          <w:sz w:val="24"/>
          <w:szCs w:val="24"/>
          <w:lang w:val="it-IT"/>
        </w:rPr>
        <w:t>I Trasferimenti di Valore a Operatori sanitari riflettono il valore equo di mercato e tengono conto della natura dei servizi prestati, del tempo dedicato, nonché delle conoscenze e dell'esperienza dell'Operatore sanitario in questione.</w:t>
      </w:r>
    </w:p>
    <w:p w14:paraId="6EE14EF4" w14:textId="42E99BC2" w:rsidR="007E2263" w:rsidRPr="00AE48D5" w:rsidRDefault="007E2263" w:rsidP="005B6935">
      <w:pPr>
        <w:spacing w:after="240" w:line="240" w:lineRule="auto"/>
        <w:ind w:left="709"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9.3       </w:t>
      </w:r>
      <w:r w:rsidRPr="00AE48D5">
        <w:rPr>
          <w:rFonts w:ascii="Times New Roman" w:eastAsia="Times New Roman" w:hAnsi="Times New Roman" w:cs="Times New Roman"/>
          <w:color w:val="222222"/>
          <w:sz w:val="24"/>
          <w:szCs w:val="24"/>
          <w:lang w:val="it-IT"/>
        </w:rPr>
        <w:t>Quando Astellas è parte di un contratto di co-marketing, Astellas dichiara solo i Trasferimenti di Valore compiuti da Astellas.</w:t>
      </w:r>
    </w:p>
    <w:p w14:paraId="549EEB56" w14:textId="7F1EECAC" w:rsidR="007E2263" w:rsidRPr="00AE48D5" w:rsidRDefault="007E2263" w:rsidP="005B6935">
      <w:pPr>
        <w:spacing w:after="240" w:line="240" w:lineRule="auto"/>
        <w:ind w:left="709"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9.4       </w:t>
      </w:r>
      <w:r w:rsidRPr="00AE48D5">
        <w:rPr>
          <w:rFonts w:ascii="Times New Roman" w:eastAsia="Times New Roman" w:hAnsi="Times New Roman" w:cs="Times New Roman"/>
          <w:color w:val="222222"/>
          <w:sz w:val="24"/>
          <w:szCs w:val="24"/>
          <w:lang w:val="it-IT"/>
        </w:rPr>
        <w:t>Tutti i Trasferimenti di Valore effettuati da Astellas, indipendentemente dall'ubicazione delle sue entità (ad es. trasferimenti di valore effettuati da entità Astellas fuori dall'Italia), saranno inclusi nella relazione contenente le Pubblicazioni per l’Italia.</w:t>
      </w:r>
    </w:p>
    <w:p w14:paraId="6FB73674" w14:textId="479F3F76" w:rsidR="007E2263" w:rsidRPr="00AE48D5" w:rsidRDefault="007E2263" w:rsidP="005B6935">
      <w:pPr>
        <w:spacing w:after="240" w:line="240" w:lineRule="auto"/>
        <w:ind w:left="709" w:hanging="720"/>
        <w:jc w:val="both"/>
        <w:textAlignment w:val="top"/>
        <w:outlineLvl w:val="1"/>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000000"/>
          <w:sz w:val="24"/>
          <w:szCs w:val="24"/>
          <w:lang w:val="it-IT"/>
        </w:rPr>
        <w:t>9.5       </w:t>
      </w:r>
      <w:r w:rsidRPr="00AE48D5">
        <w:rPr>
          <w:rFonts w:ascii="Times New Roman" w:eastAsia="Times New Roman" w:hAnsi="Times New Roman" w:cs="Times New Roman"/>
          <w:color w:val="222222"/>
          <w:sz w:val="24"/>
          <w:szCs w:val="24"/>
          <w:lang w:val="it-IT"/>
        </w:rPr>
        <w:t>Laddove un partner/distributore interagisca con un Operatore sanitario/un’Organizzazione sanitaria</w:t>
      </w:r>
      <w:r w:rsidR="002B0D7A">
        <w:rPr>
          <w:rFonts w:ascii="Times New Roman" w:eastAsia="Times New Roman" w:hAnsi="Times New Roman" w:cs="Times New Roman"/>
          <w:color w:val="222222"/>
          <w:sz w:val="24"/>
          <w:szCs w:val="24"/>
          <w:lang w:val="it-IT"/>
        </w:rPr>
        <w:t>/un</w:t>
      </w:r>
      <w:r w:rsidR="0058483E">
        <w:rPr>
          <w:rFonts w:ascii="Times New Roman" w:eastAsia="Times New Roman" w:hAnsi="Times New Roman" w:cs="Times New Roman"/>
          <w:color w:val="222222"/>
          <w:sz w:val="24"/>
          <w:szCs w:val="24"/>
          <w:lang w:val="it-IT"/>
        </w:rPr>
        <w:t>’</w:t>
      </w:r>
      <w:r w:rsidR="001B17A5">
        <w:rPr>
          <w:rFonts w:ascii="Times New Roman" w:eastAsia="Times New Roman" w:hAnsi="Times New Roman" w:cs="Times New Roman"/>
          <w:color w:val="222222"/>
          <w:sz w:val="24"/>
          <w:szCs w:val="24"/>
          <w:lang w:val="it-IT"/>
        </w:rPr>
        <w:t>Associazione di Pazienti</w:t>
      </w:r>
      <w:r w:rsidRPr="00AE48D5">
        <w:rPr>
          <w:rFonts w:ascii="Times New Roman" w:eastAsia="Times New Roman" w:hAnsi="Times New Roman" w:cs="Times New Roman"/>
          <w:color w:val="222222"/>
          <w:sz w:val="24"/>
          <w:szCs w:val="24"/>
          <w:lang w:val="it-IT"/>
        </w:rPr>
        <w:t xml:space="preserve"> da un paese membro</w:t>
      </w:r>
      <w:r w:rsidR="00A01964" w:rsidRPr="00AE48D5">
        <w:rPr>
          <w:rFonts w:ascii="Times New Roman" w:eastAsia="Times New Roman" w:hAnsi="Times New Roman" w:cs="Times New Roman"/>
          <w:color w:val="222222"/>
          <w:sz w:val="24"/>
          <w:szCs w:val="24"/>
          <w:lang w:val="it-IT"/>
        </w:rPr>
        <w:t xml:space="preserve"> </w:t>
      </w:r>
      <w:r w:rsidRPr="00AE48D5">
        <w:rPr>
          <w:rFonts w:ascii="Times New Roman" w:eastAsia="Times New Roman" w:hAnsi="Times New Roman" w:cs="Times New Roman"/>
          <w:color w:val="222222"/>
          <w:sz w:val="24"/>
          <w:szCs w:val="24"/>
          <w:lang w:val="it-IT"/>
        </w:rPr>
        <w:t>dell'EFPIA per conto di Astellas, quest'ultima richiederà i dati relativi al Trasferimento di Valore, come previsto dal Codice EFPIA</w:t>
      </w:r>
      <w:r w:rsidR="00A01964" w:rsidRPr="00AE48D5">
        <w:rPr>
          <w:rFonts w:ascii="Times New Roman" w:eastAsia="Times New Roman" w:hAnsi="Times New Roman" w:cs="Times New Roman"/>
          <w:color w:val="222222"/>
          <w:sz w:val="24"/>
          <w:szCs w:val="24"/>
          <w:lang w:val="it-IT"/>
        </w:rPr>
        <w:t xml:space="preserve"> </w:t>
      </w:r>
      <w:r w:rsidRPr="00AE48D5">
        <w:rPr>
          <w:rFonts w:ascii="Times New Roman" w:eastAsia="Times New Roman" w:hAnsi="Times New Roman" w:cs="Times New Roman"/>
          <w:color w:val="222222"/>
          <w:sz w:val="24"/>
          <w:szCs w:val="24"/>
          <w:lang w:val="it-IT"/>
        </w:rPr>
        <w:t>(Codice deontologico di Farmindustria), e procederà alla Pubblicazione sulla base del codice deontologico applicabile. Esso sarà incluso in ciascuna spesa dichiarata. Qualora, invece, Astellas non abbia la supervisione delle attività e non gestisca le interazioni e il partner/distributore sia anch'esso soggetto all'obbligo di Pubblicazione, tale obbligo incomberà al partner/distributore che gestisce le interazioni ed effettua il Trasferimento di Valore.</w:t>
      </w:r>
    </w:p>
    <w:p w14:paraId="62B0F5C7" w14:textId="77777777" w:rsidR="007E2263" w:rsidRPr="00AE48D5" w:rsidRDefault="007E2263" w:rsidP="007E2263">
      <w:pPr>
        <w:spacing w:line="240" w:lineRule="auto"/>
        <w:jc w:val="center"/>
        <w:textAlignment w:val="top"/>
        <w:rPr>
          <w:rFonts w:ascii="Times New Roman" w:eastAsia="Times New Roman" w:hAnsi="Times New Roman" w:cs="Times New Roman"/>
          <w:color w:val="222222"/>
          <w:sz w:val="24"/>
          <w:szCs w:val="24"/>
          <w:lang w:val="it-IT"/>
        </w:rPr>
      </w:pPr>
      <w:r w:rsidRPr="00AE48D5">
        <w:rPr>
          <w:rFonts w:ascii="Times New Roman" w:eastAsia="Times New Roman" w:hAnsi="Times New Roman" w:cs="Times New Roman"/>
          <w:color w:val="222222"/>
          <w:sz w:val="24"/>
          <w:szCs w:val="24"/>
          <w:lang w:val="it-IT"/>
        </w:rPr>
        <w:br/>
      </w:r>
    </w:p>
    <w:p w14:paraId="39D1B407" w14:textId="77777777" w:rsidR="003A1891" w:rsidRPr="00AE48D5" w:rsidRDefault="003A1891">
      <w:pPr>
        <w:rPr>
          <w:rFonts w:ascii="Times New Roman" w:hAnsi="Times New Roman" w:cs="Times New Roman"/>
          <w:sz w:val="24"/>
          <w:szCs w:val="24"/>
          <w:lang w:val="it-IT"/>
        </w:rPr>
      </w:pPr>
    </w:p>
    <w:sectPr w:rsidR="003A1891" w:rsidRPr="00AE48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EC024" w14:textId="77777777" w:rsidR="001B234E" w:rsidRDefault="001B234E" w:rsidP="00896DDE">
      <w:pPr>
        <w:spacing w:after="0" w:line="240" w:lineRule="auto"/>
      </w:pPr>
      <w:r>
        <w:separator/>
      </w:r>
    </w:p>
  </w:endnote>
  <w:endnote w:type="continuationSeparator" w:id="0">
    <w:p w14:paraId="356D12DE" w14:textId="77777777" w:rsidR="001B234E" w:rsidRDefault="001B234E" w:rsidP="0089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8BB66" w14:textId="77777777" w:rsidR="001B234E" w:rsidRDefault="001B234E" w:rsidP="00896DDE">
      <w:pPr>
        <w:spacing w:after="0" w:line="240" w:lineRule="auto"/>
      </w:pPr>
      <w:r>
        <w:separator/>
      </w:r>
    </w:p>
  </w:footnote>
  <w:footnote w:type="continuationSeparator" w:id="0">
    <w:p w14:paraId="74179EEC" w14:textId="77777777" w:rsidR="001B234E" w:rsidRDefault="001B234E" w:rsidP="00896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5109"/>
    <w:multiLevelType w:val="multilevel"/>
    <w:tmpl w:val="32F091F2"/>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
      <w:lvlJc w:val="left"/>
      <w:pPr>
        <w:tabs>
          <w:tab w:val="num" w:pos="1734"/>
        </w:tabs>
        <w:ind w:left="1734" w:hanging="360"/>
      </w:pPr>
      <w:rPr>
        <w:rFonts w:ascii="Symbol" w:hAnsi="Symbol" w:hint="default"/>
        <w:sz w:val="20"/>
      </w:rPr>
    </w:lvl>
    <w:lvl w:ilvl="2" w:tentative="1">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1" w15:restartNumberingAfterBreak="0">
    <w:nsid w:val="11482C27"/>
    <w:multiLevelType w:val="multilevel"/>
    <w:tmpl w:val="1940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1C0763"/>
    <w:multiLevelType w:val="multilevel"/>
    <w:tmpl w:val="3346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642640"/>
    <w:multiLevelType w:val="multilevel"/>
    <w:tmpl w:val="5A76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776209">
    <w:abstractNumId w:val="2"/>
  </w:num>
  <w:num w:numId="2" w16cid:durableId="1449276208">
    <w:abstractNumId w:val="0"/>
  </w:num>
  <w:num w:numId="3" w16cid:durableId="1238638763">
    <w:abstractNumId w:val="3"/>
  </w:num>
  <w:num w:numId="4" w16cid:durableId="96569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63"/>
    <w:rsid w:val="00061426"/>
    <w:rsid w:val="001B17A5"/>
    <w:rsid w:val="001B234E"/>
    <w:rsid w:val="002B0D7A"/>
    <w:rsid w:val="003A1891"/>
    <w:rsid w:val="00406202"/>
    <w:rsid w:val="004B6EDE"/>
    <w:rsid w:val="004B7628"/>
    <w:rsid w:val="004E16E9"/>
    <w:rsid w:val="0058483E"/>
    <w:rsid w:val="005B6935"/>
    <w:rsid w:val="00660877"/>
    <w:rsid w:val="006662DE"/>
    <w:rsid w:val="007640A7"/>
    <w:rsid w:val="007D721D"/>
    <w:rsid w:val="007E2263"/>
    <w:rsid w:val="0083316A"/>
    <w:rsid w:val="00893AA8"/>
    <w:rsid w:val="00896DDE"/>
    <w:rsid w:val="00947702"/>
    <w:rsid w:val="00987BD0"/>
    <w:rsid w:val="009E4A3D"/>
    <w:rsid w:val="00A01964"/>
    <w:rsid w:val="00A37A8A"/>
    <w:rsid w:val="00A653B9"/>
    <w:rsid w:val="00A916D5"/>
    <w:rsid w:val="00AA1EB0"/>
    <w:rsid w:val="00AE2D4D"/>
    <w:rsid w:val="00AE48D5"/>
    <w:rsid w:val="00B9402D"/>
    <w:rsid w:val="00BA2D3C"/>
    <w:rsid w:val="00BC75CB"/>
    <w:rsid w:val="00CA6A84"/>
    <w:rsid w:val="00CD3253"/>
    <w:rsid w:val="00D12EC0"/>
    <w:rsid w:val="00D470E0"/>
    <w:rsid w:val="00D8762A"/>
    <w:rsid w:val="00DD5E5D"/>
    <w:rsid w:val="00DF3C3D"/>
    <w:rsid w:val="00F462E1"/>
    <w:rsid w:val="00F548F5"/>
    <w:rsid w:val="00FA3CFF"/>
    <w:rsid w:val="00FB7730"/>
    <w:rsid w:val="00FF3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29237A"/>
  <w15:chartTrackingRefBased/>
  <w15:docId w15:val="{4B6ADAA5-82F1-48A0-8A85-69E4BEB3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E226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paragraph" w:styleId="Titolo2">
    <w:name w:val="heading 2"/>
    <w:basedOn w:val="Normale"/>
    <w:link w:val="Titolo2Carattere"/>
    <w:uiPriority w:val="9"/>
    <w:qFormat/>
    <w:rsid w:val="007E2263"/>
    <w:pPr>
      <w:spacing w:before="100" w:beforeAutospacing="1" w:after="100" w:afterAutospacing="1" w:line="240" w:lineRule="auto"/>
      <w:outlineLvl w:val="1"/>
    </w:pPr>
    <w:rPr>
      <w:rFonts w:ascii="Times New Roman" w:eastAsia="Times New Roman" w:hAnsi="Times New Roman" w:cs="Times New Roman"/>
      <w:b/>
      <w:bCs/>
      <w:sz w:val="36"/>
      <w:szCs w:val="36"/>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2263"/>
    <w:rPr>
      <w:rFonts w:ascii="Times New Roman" w:eastAsia="Times New Roman" w:hAnsi="Times New Roman" w:cs="Times New Roman"/>
      <w:b/>
      <w:bCs/>
      <w:kern w:val="36"/>
      <w:sz w:val="48"/>
      <w:szCs w:val="48"/>
      <w:lang w:val="en-GB"/>
    </w:rPr>
  </w:style>
  <w:style w:type="character" w:customStyle="1" w:styleId="Titolo2Carattere">
    <w:name w:val="Titolo 2 Carattere"/>
    <w:basedOn w:val="Carpredefinitoparagrafo"/>
    <w:link w:val="Titolo2"/>
    <w:uiPriority w:val="9"/>
    <w:rsid w:val="007E2263"/>
    <w:rPr>
      <w:rFonts w:ascii="Times New Roman" w:eastAsia="Times New Roman" w:hAnsi="Times New Roman" w:cs="Times New Roman"/>
      <w:b/>
      <w:bCs/>
      <w:sz w:val="36"/>
      <w:szCs w:val="36"/>
      <w:lang w:val="en-GB"/>
    </w:rPr>
  </w:style>
  <w:style w:type="paragraph" w:styleId="NormaleWeb">
    <w:name w:val="Normal (Web)"/>
    <w:basedOn w:val="Normale"/>
    <w:uiPriority w:val="99"/>
    <w:semiHidden/>
    <w:unhideWhenUsed/>
    <w:rsid w:val="007E2263"/>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nfasigrassetto">
    <w:name w:val="Strong"/>
    <w:basedOn w:val="Carpredefinitoparagrafo"/>
    <w:uiPriority w:val="22"/>
    <w:qFormat/>
    <w:rsid w:val="007E2263"/>
    <w:rPr>
      <w:b/>
      <w:bCs/>
    </w:rPr>
  </w:style>
  <w:style w:type="character" w:styleId="Collegamentoipertestuale">
    <w:name w:val="Hyperlink"/>
    <w:basedOn w:val="Carpredefinitoparagrafo"/>
    <w:uiPriority w:val="99"/>
    <w:semiHidden/>
    <w:unhideWhenUsed/>
    <w:rsid w:val="007E2263"/>
    <w:rPr>
      <w:color w:val="0000FF"/>
      <w:u w:val="single"/>
    </w:rPr>
  </w:style>
  <w:style w:type="paragraph" w:styleId="Intestazione">
    <w:name w:val="header"/>
    <w:basedOn w:val="Normale"/>
    <w:link w:val="IntestazioneCarattere"/>
    <w:uiPriority w:val="99"/>
    <w:unhideWhenUsed/>
    <w:rsid w:val="00896DD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96DDE"/>
  </w:style>
  <w:style w:type="paragraph" w:styleId="Pidipagina">
    <w:name w:val="footer"/>
    <w:basedOn w:val="Normale"/>
    <w:link w:val="PidipaginaCarattere"/>
    <w:uiPriority w:val="99"/>
    <w:unhideWhenUsed/>
    <w:rsid w:val="00896DD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96DDE"/>
  </w:style>
  <w:style w:type="character" w:styleId="Rimandocommento">
    <w:name w:val="annotation reference"/>
    <w:basedOn w:val="Carpredefinitoparagrafo"/>
    <w:uiPriority w:val="99"/>
    <w:semiHidden/>
    <w:unhideWhenUsed/>
    <w:rsid w:val="00D12EC0"/>
    <w:rPr>
      <w:sz w:val="16"/>
      <w:szCs w:val="16"/>
    </w:rPr>
  </w:style>
  <w:style w:type="paragraph" w:styleId="Testocommento">
    <w:name w:val="annotation text"/>
    <w:basedOn w:val="Normale"/>
    <w:link w:val="TestocommentoCarattere"/>
    <w:uiPriority w:val="99"/>
    <w:semiHidden/>
    <w:unhideWhenUsed/>
    <w:rsid w:val="00D12EC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12EC0"/>
    <w:rPr>
      <w:sz w:val="20"/>
      <w:szCs w:val="20"/>
    </w:rPr>
  </w:style>
  <w:style w:type="paragraph" w:styleId="Soggettocommento">
    <w:name w:val="annotation subject"/>
    <w:basedOn w:val="Testocommento"/>
    <w:next w:val="Testocommento"/>
    <w:link w:val="SoggettocommentoCarattere"/>
    <w:uiPriority w:val="99"/>
    <w:semiHidden/>
    <w:unhideWhenUsed/>
    <w:rsid w:val="00D12EC0"/>
    <w:rPr>
      <w:b/>
      <w:bCs/>
    </w:rPr>
  </w:style>
  <w:style w:type="character" w:customStyle="1" w:styleId="SoggettocommentoCarattere">
    <w:name w:val="Soggetto commento Carattere"/>
    <w:basedOn w:val="TestocommentoCarattere"/>
    <w:link w:val="Soggettocommento"/>
    <w:uiPriority w:val="99"/>
    <w:semiHidden/>
    <w:rsid w:val="00D12EC0"/>
    <w:rPr>
      <w:b/>
      <w:bCs/>
      <w:sz w:val="20"/>
      <w:szCs w:val="20"/>
    </w:rPr>
  </w:style>
  <w:style w:type="paragraph" w:styleId="Testofumetto">
    <w:name w:val="Balloon Text"/>
    <w:basedOn w:val="Normale"/>
    <w:link w:val="TestofumettoCarattere"/>
    <w:uiPriority w:val="99"/>
    <w:semiHidden/>
    <w:unhideWhenUsed/>
    <w:rsid w:val="00D12E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2EC0"/>
    <w:rPr>
      <w:rFonts w:ascii="Segoe UI" w:hAnsi="Segoe UI" w:cs="Segoe UI"/>
      <w:sz w:val="18"/>
      <w:szCs w:val="18"/>
    </w:rPr>
  </w:style>
  <w:style w:type="paragraph" w:styleId="Paragrafoelenco">
    <w:name w:val="List Paragraph"/>
    <w:basedOn w:val="Normale"/>
    <w:uiPriority w:val="34"/>
    <w:qFormat/>
    <w:rsid w:val="00833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199872">
      <w:bodyDiv w:val="1"/>
      <w:marLeft w:val="0"/>
      <w:marRight w:val="0"/>
      <w:marTop w:val="0"/>
      <w:marBottom w:val="0"/>
      <w:divBdr>
        <w:top w:val="none" w:sz="0" w:space="0" w:color="auto"/>
        <w:left w:val="none" w:sz="0" w:space="0" w:color="auto"/>
        <w:bottom w:val="none" w:sz="0" w:space="0" w:color="auto"/>
        <w:right w:val="none" w:sz="0" w:space="0" w:color="auto"/>
      </w:divBdr>
      <w:divsChild>
        <w:div w:id="1770127400">
          <w:marLeft w:val="0"/>
          <w:marRight w:val="0"/>
          <w:marTop w:val="0"/>
          <w:marBottom w:val="0"/>
          <w:divBdr>
            <w:top w:val="none" w:sz="0" w:space="0" w:color="auto"/>
            <w:left w:val="none" w:sz="0" w:space="0" w:color="auto"/>
            <w:bottom w:val="none" w:sz="0" w:space="0" w:color="auto"/>
            <w:right w:val="none" w:sz="0" w:space="0" w:color="auto"/>
          </w:divBdr>
          <w:divsChild>
            <w:div w:id="1883636789">
              <w:marLeft w:val="0"/>
              <w:marRight w:val="0"/>
              <w:marTop w:val="0"/>
              <w:marBottom w:val="0"/>
              <w:divBdr>
                <w:top w:val="none" w:sz="0" w:space="0" w:color="auto"/>
                <w:left w:val="none" w:sz="0" w:space="0" w:color="auto"/>
                <w:bottom w:val="none" w:sz="0" w:space="0" w:color="auto"/>
                <w:right w:val="none" w:sz="0" w:space="0" w:color="auto"/>
              </w:divBdr>
              <w:divsChild>
                <w:div w:id="591471888">
                  <w:marLeft w:val="150"/>
                  <w:marRight w:val="150"/>
                  <w:marTop w:val="0"/>
                  <w:marBottom w:val="0"/>
                  <w:divBdr>
                    <w:top w:val="none" w:sz="0" w:space="0" w:color="auto"/>
                    <w:left w:val="none" w:sz="0" w:space="0" w:color="auto"/>
                    <w:bottom w:val="none" w:sz="0" w:space="0" w:color="auto"/>
                    <w:right w:val="none" w:sz="0" w:space="0" w:color="auto"/>
                  </w:divBdr>
                  <w:divsChild>
                    <w:div w:id="1953324413">
                      <w:marLeft w:val="0"/>
                      <w:marRight w:val="0"/>
                      <w:marTop w:val="0"/>
                      <w:marBottom w:val="0"/>
                      <w:divBdr>
                        <w:top w:val="none" w:sz="0" w:space="0" w:color="auto"/>
                        <w:left w:val="none" w:sz="0" w:space="0" w:color="auto"/>
                        <w:bottom w:val="none" w:sz="0" w:space="0" w:color="auto"/>
                        <w:right w:val="none" w:sz="0" w:space="0" w:color="auto"/>
                      </w:divBdr>
                      <w:divsChild>
                        <w:div w:id="78870950">
                          <w:marLeft w:val="112"/>
                          <w:marRight w:val="112"/>
                          <w:marTop w:val="0"/>
                          <w:marBottom w:val="0"/>
                          <w:divBdr>
                            <w:top w:val="none" w:sz="0" w:space="0" w:color="auto"/>
                            <w:left w:val="none" w:sz="0" w:space="0" w:color="auto"/>
                            <w:bottom w:val="none" w:sz="0" w:space="0" w:color="auto"/>
                            <w:right w:val="none" w:sz="0" w:space="0" w:color="auto"/>
                          </w:divBdr>
                          <w:divsChild>
                            <w:div w:id="1863975806">
                              <w:marLeft w:val="0"/>
                              <w:marRight w:val="0"/>
                              <w:marTop w:val="0"/>
                              <w:marBottom w:val="0"/>
                              <w:divBdr>
                                <w:top w:val="none" w:sz="0" w:space="0" w:color="auto"/>
                                <w:left w:val="none" w:sz="0" w:space="0" w:color="auto"/>
                                <w:bottom w:val="none" w:sz="0" w:space="0" w:color="auto"/>
                                <w:right w:val="none" w:sz="0" w:space="0" w:color="auto"/>
                              </w:divBdr>
                              <w:divsChild>
                                <w:div w:id="48313264">
                                  <w:marLeft w:val="0"/>
                                  <w:marRight w:val="0"/>
                                  <w:marTop w:val="0"/>
                                  <w:marBottom w:val="300"/>
                                  <w:divBdr>
                                    <w:top w:val="none" w:sz="0" w:space="0" w:color="auto"/>
                                    <w:left w:val="none" w:sz="0" w:space="0" w:color="auto"/>
                                    <w:bottom w:val="none" w:sz="0" w:space="0" w:color="auto"/>
                                    <w:right w:val="none" w:sz="0" w:space="0" w:color="auto"/>
                                  </w:divBdr>
                                  <w:divsChild>
                                    <w:div w:id="1452818073">
                                      <w:marLeft w:val="0"/>
                                      <w:marRight w:val="0"/>
                                      <w:marTop w:val="0"/>
                                      <w:marBottom w:val="0"/>
                                      <w:divBdr>
                                        <w:top w:val="none" w:sz="0" w:space="0" w:color="auto"/>
                                        <w:left w:val="none" w:sz="0" w:space="0" w:color="auto"/>
                                        <w:bottom w:val="none" w:sz="0" w:space="0" w:color="auto"/>
                                        <w:right w:val="none" w:sz="0" w:space="0" w:color="auto"/>
                                      </w:divBdr>
                                      <w:divsChild>
                                        <w:div w:id="435252941">
                                          <w:marLeft w:val="0"/>
                                          <w:marRight w:val="0"/>
                                          <w:marTop w:val="750"/>
                                          <w:marBottom w:val="0"/>
                                          <w:divBdr>
                                            <w:top w:val="single" w:sz="6" w:space="3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2306</Words>
  <Characters>13145</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 Monalisa</dc:creator>
  <cp:keywords/>
  <dc:description/>
  <cp:lastModifiedBy>Carnà &amp; Partners</cp:lastModifiedBy>
  <cp:revision>24</cp:revision>
  <dcterms:created xsi:type="dcterms:W3CDTF">2023-05-31T12:26:00Z</dcterms:created>
  <dcterms:modified xsi:type="dcterms:W3CDTF">2025-01-15T11:37:00Z</dcterms:modified>
</cp:coreProperties>
</file>